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8F6" w:rsidRDefault="008418F6" w:rsidP="00901E05">
      <w:pPr>
        <w:spacing w:line="24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SPARE SPM BUOY OF </w:t>
      </w:r>
      <w:r w:rsidR="00A45C1D">
        <w:rPr>
          <w:rFonts w:ascii="Arial" w:hAnsi="Arial"/>
          <w:b/>
          <w:sz w:val="20"/>
        </w:rPr>
        <w:t xml:space="preserve">BŪTINGĖ TERMINAL </w:t>
      </w:r>
    </w:p>
    <w:p w:rsidR="008418F6" w:rsidRDefault="00DC4BA8" w:rsidP="008418F6">
      <w:pPr>
        <w:spacing w:line="24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INSTALLATION</w:t>
      </w:r>
      <w:r w:rsidR="008418F6">
        <w:rPr>
          <w:rFonts w:ascii="Arial" w:hAnsi="Arial"/>
          <w:b/>
          <w:sz w:val="20"/>
        </w:rPr>
        <w:t xml:space="preserve"> OF </w:t>
      </w:r>
      <w:r w:rsidR="00A45C1D">
        <w:rPr>
          <w:rFonts w:ascii="Arial" w:hAnsi="Arial"/>
          <w:b/>
          <w:sz w:val="20"/>
        </w:rPr>
        <w:t>TELEMETRY,</w:t>
      </w:r>
      <w:r w:rsidR="008418F6">
        <w:rPr>
          <w:rFonts w:ascii="Arial" w:hAnsi="Arial" w:cs="Arial"/>
          <w:b/>
          <w:sz w:val="20"/>
          <w:szCs w:val="20"/>
        </w:rPr>
        <w:t xml:space="preserve"> </w:t>
      </w:r>
      <w:r w:rsidR="00A45C1D">
        <w:rPr>
          <w:rFonts w:ascii="Arial" w:hAnsi="Arial"/>
          <w:b/>
          <w:sz w:val="20"/>
        </w:rPr>
        <w:t xml:space="preserve">INSTRUMENTATION </w:t>
      </w:r>
      <w:r w:rsidR="008418F6">
        <w:rPr>
          <w:rFonts w:ascii="Arial" w:hAnsi="Arial" w:cs="Arial"/>
          <w:b/>
          <w:sz w:val="20"/>
        </w:rPr>
        <w:t>&amp;</w:t>
      </w:r>
      <w:r w:rsidR="00A45C1D">
        <w:rPr>
          <w:rFonts w:ascii="Arial" w:hAnsi="Arial"/>
          <w:b/>
          <w:sz w:val="20"/>
        </w:rPr>
        <w:t xml:space="preserve"> AUTOMATION</w:t>
      </w:r>
      <w:r w:rsidR="00ED5BA2">
        <w:rPr>
          <w:rFonts w:ascii="Arial" w:hAnsi="Arial"/>
          <w:b/>
          <w:sz w:val="20"/>
        </w:rPr>
        <w:t xml:space="preserve"> AND</w:t>
      </w:r>
      <w:r w:rsidR="00A45C1D">
        <w:rPr>
          <w:rFonts w:ascii="Arial" w:hAnsi="Arial"/>
          <w:b/>
          <w:sz w:val="20"/>
        </w:rPr>
        <w:t xml:space="preserve"> </w:t>
      </w:r>
    </w:p>
    <w:p w:rsidR="00A45C1D" w:rsidRDefault="00A45C1D" w:rsidP="008418F6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</w:rPr>
        <w:t xml:space="preserve">POWER SUPPLY SYSTEMS </w:t>
      </w:r>
    </w:p>
    <w:p w:rsidR="00A45C1D" w:rsidRDefault="00ED5BA2" w:rsidP="00A45C1D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01 May 2025</w:t>
      </w:r>
    </w:p>
    <w:p w:rsidR="00A45C1D" w:rsidRDefault="00A45C1D" w:rsidP="00A45C1D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Juodeikiai, Mažeikiai Distr.</w:t>
      </w:r>
    </w:p>
    <w:p w:rsidR="004A0513" w:rsidRDefault="004A0513" w:rsidP="001F4D92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</w:p>
    <w:p w:rsidR="004A0513" w:rsidRDefault="002B4E39" w:rsidP="002B4E39">
      <w:pPr>
        <w:pStyle w:val="ListParagraph"/>
        <w:numPr>
          <w:ilvl w:val="0"/>
          <w:numId w:val="17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</w:rPr>
        <w:t>Current situation:</w:t>
      </w:r>
    </w:p>
    <w:p w:rsidR="002B4E39" w:rsidRDefault="00623FB7" w:rsidP="002B4E39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Anchored single point mooring buoy (SPM) of the offshore part of Būtingė Terminal of Public Company ORLEN Lietuva (OL) is designed for marine tanker unloading operations and is i</w:t>
      </w:r>
      <w:r w:rsidR="00EB0CBF">
        <w:rPr>
          <w:rFonts w:ascii="Arial" w:hAnsi="Arial"/>
          <w:sz w:val="20"/>
        </w:rPr>
        <w:t xml:space="preserve">nstalled in the sea 7.3 km </w:t>
      </w:r>
      <w:r>
        <w:rPr>
          <w:rFonts w:ascii="Arial" w:hAnsi="Arial"/>
          <w:sz w:val="20"/>
        </w:rPr>
        <w:t xml:space="preserve">from the seashore where the depth of the sea is 22 m. Distance from SPM buoy to Lithuanian-Latvian border is 1 nautical mile North. </w:t>
      </w:r>
    </w:p>
    <w:p w:rsidR="00623FB7" w:rsidRPr="002B4E39" w:rsidRDefault="00623FB7" w:rsidP="002B4E39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Terminal offshore part battery limits cover Būtingė Terminal water basin, </w:t>
      </w:r>
      <w:r w:rsidR="0036391F">
        <w:rPr>
          <w:rFonts w:ascii="Arial" w:hAnsi="Arial"/>
          <w:sz w:val="20"/>
        </w:rPr>
        <w:t>tanker anchorage</w:t>
      </w:r>
      <w:r>
        <w:rPr>
          <w:rFonts w:ascii="Arial" w:hAnsi="Arial"/>
          <w:sz w:val="20"/>
        </w:rPr>
        <w:t xml:space="preserve"> and navigation corridor</w:t>
      </w:r>
      <w:r w:rsidR="00EB0CBF">
        <w:rPr>
          <w:rFonts w:ascii="Arial" w:hAnsi="Arial"/>
          <w:sz w:val="20"/>
        </w:rPr>
        <w:t xml:space="preserve"> as shown below</w:t>
      </w:r>
      <w:r>
        <w:rPr>
          <w:rFonts w:ascii="Arial" w:hAnsi="Arial"/>
          <w:sz w:val="20"/>
        </w:rPr>
        <w:t>:</w:t>
      </w:r>
    </w:p>
    <w:p w:rsidR="007C0C0E" w:rsidRDefault="007C0C0E" w:rsidP="00623FB7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lt-LT" w:eastAsia="lt-LT" w:bidi="ar-SA"/>
        </w:rPr>
        <w:drawing>
          <wp:inline distT="0" distB="0" distL="0" distR="0" wp14:anchorId="35856D98" wp14:editId="5ACA29DF">
            <wp:extent cx="4763068" cy="251892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M geografija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375" cy="2518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0C0E" w:rsidRDefault="007C0C0E" w:rsidP="00623FB7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</w:p>
    <w:p w:rsidR="002B4E39" w:rsidRDefault="002B4E39" w:rsidP="00623FB7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</w:p>
    <w:p w:rsidR="007C0C0E" w:rsidRDefault="007C0C0E" w:rsidP="002B4E39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Control Room of the Terminal is 2.5 km East from the coastline, coordinates: N – 56o02‘46“, E – 21</w:t>
      </w:r>
      <w:r>
        <w:rPr>
          <w:rFonts w:ascii="Arial" w:hAnsi="Arial"/>
          <w:sz w:val="20"/>
          <w:vertAlign w:val="superscript"/>
        </w:rPr>
        <w:t>o</w:t>
      </w:r>
      <w:r>
        <w:rPr>
          <w:rFonts w:ascii="Arial" w:hAnsi="Arial"/>
          <w:sz w:val="20"/>
        </w:rPr>
        <w:t>02‘41“.</w:t>
      </w:r>
    </w:p>
    <w:p w:rsidR="007C0C0E" w:rsidRDefault="007C0C0E" w:rsidP="002B4E39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SPM boy is 7.3 km offshore from the coastline, coordinates: N – 56</w:t>
      </w:r>
      <w:r>
        <w:rPr>
          <w:rFonts w:ascii="Arial" w:hAnsi="Arial"/>
          <w:sz w:val="20"/>
          <w:vertAlign w:val="superscript"/>
        </w:rPr>
        <w:t>o</w:t>
      </w:r>
      <w:r>
        <w:rPr>
          <w:rFonts w:ascii="Arial" w:hAnsi="Arial"/>
          <w:sz w:val="20"/>
        </w:rPr>
        <w:t>02’47,30“, E – 20</w:t>
      </w:r>
      <w:r>
        <w:rPr>
          <w:rFonts w:ascii="Arial" w:hAnsi="Arial"/>
          <w:sz w:val="20"/>
          <w:vertAlign w:val="superscript"/>
        </w:rPr>
        <w:t>o</w:t>
      </w:r>
      <w:r>
        <w:rPr>
          <w:rFonts w:ascii="Arial" w:hAnsi="Arial"/>
          <w:sz w:val="20"/>
        </w:rPr>
        <w:t>57’36,50“.</w:t>
      </w:r>
    </w:p>
    <w:p w:rsidR="00782B8E" w:rsidRDefault="00782B8E" w:rsidP="002B4E39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Fixed part of SPM buoy (hull) is anchored to the seabed. Moving part of SPM buoy (turntable) can rotate freely 360</w:t>
      </w:r>
      <w:r>
        <w:rPr>
          <w:rFonts w:ascii="Arial" w:hAnsi="Arial"/>
          <w:sz w:val="20"/>
          <w:vertAlign w:val="superscript"/>
        </w:rPr>
        <w:t>o</w:t>
      </w:r>
      <w:r>
        <w:rPr>
          <w:rFonts w:ascii="Arial" w:hAnsi="Arial"/>
          <w:sz w:val="20"/>
        </w:rPr>
        <w:t xml:space="preserve">. </w:t>
      </w:r>
    </w:p>
    <w:p w:rsidR="00AB3AED" w:rsidRDefault="00AB3AED" w:rsidP="00285318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Būtingė SPM buoy is designed</w:t>
      </w:r>
      <w:r w:rsidR="00285318">
        <w:rPr>
          <w:rFonts w:ascii="Arial" w:hAnsi="Arial"/>
          <w:sz w:val="20"/>
        </w:rPr>
        <w:t xml:space="preserve"> </w:t>
      </w:r>
      <w:r w:rsidR="00285318" w:rsidRPr="00285318">
        <w:rPr>
          <w:rFonts w:ascii="Arial" w:hAnsi="Arial"/>
          <w:sz w:val="20"/>
        </w:rPr>
        <w:t xml:space="preserve">withstand 54 m/s (105 </w:t>
      </w:r>
      <w:proofErr w:type="spellStart"/>
      <w:r w:rsidR="00285318" w:rsidRPr="00285318">
        <w:rPr>
          <w:rFonts w:ascii="Arial" w:hAnsi="Arial"/>
          <w:sz w:val="20"/>
        </w:rPr>
        <w:t>kts</w:t>
      </w:r>
      <w:proofErr w:type="spellEnd"/>
      <w:r w:rsidR="00285318" w:rsidRPr="00285318">
        <w:rPr>
          <w:rFonts w:ascii="Arial" w:hAnsi="Arial"/>
          <w:sz w:val="20"/>
        </w:rPr>
        <w:t>) wind gusts for 1 minute and</w:t>
      </w:r>
      <w:r>
        <w:rPr>
          <w:rFonts w:ascii="Arial" w:hAnsi="Arial"/>
          <w:sz w:val="20"/>
        </w:rPr>
        <w:t xml:space="preserve"> for operation with moored 150 000 DWT marine tankers. Maximum operational conditions:</w:t>
      </w:r>
    </w:p>
    <w:p w:rsidR="00AB3AED" w:rsidRPr="00D2427A" w:rsidRDefault="00AB3AED" w:rsidP="00AB3AED">
      <w:pPr>
        <w:pStyle w:val="ListParagraph"/>
        <w:numPr>
          <w:ilvl w:val="2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Nominal DWT of Tankers</w:t>
      </w:r>
      <w:r>
        <w:tab/>
      </w:r>
      <w:r>
        <w:rPr>
          <w:rFonts w:ascii="Arial" w:hAnsi="Arial"/>
          <w:sz w:val="20"/>
        </w:rPr>
        <w:t>Unit</w:t>
      </w:r>
      <w:r>
        <w:tab/>
      </w:r>
      <w:r>
        <w:rPr>
          <w:rFonts w:ascii="Arial" w:hAnsi="Arial"/>
          <w:sz w:val="20"/>
        </w:rPr>
        <w:t>120 000 DWT</w:t>
      </w:r>
      <w:r>
        <w:tab/>
      </w:r>
      <w:r>
        <w:tab/>
      </w:r>
      <w:r>
        <w:rPr>
          <w:rFonts w:ascii="Arial" w:hAnsi="Arial"/>
          <w:sz w:val="20"/>
        </w:rPr>
        <w:t>150 000 DWT</w:t>
      </w:r>
    </w:p>
    <w:p w:rsidR="00AB3AED" w:rsidRPr="00D2427A" w:rsidRDefault="00AB3AED" w:rsidP="00AB3AED">
      <w:pPr>
        <w:pStyle w:val="ListParagraph"/>
        <w:numPr>
          <w:ilvl w:val="2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Maximum Ship Draft</w:t>
      </w:r>
      <w:r>
        <w:tab/>
      </w:r>
      <w:r>
        <w:rPr>
          <w:rFonts w:ascii="Arial" w:hAnsi="Arial"/>
          <w:sz w:val="20"/>
        </w:rPr>
        <w:t>Meters</w:t>
      </w:r>
      <w:r>
        <w:tab/>
      </w:r>
      <w:r>
        <w:rPr>
          <w:rFonts w:ascii="Arial" w:hAnsi="Arial"/>
          <w:sz w:val="20"/>
        </w:rPr>
        <w:t>15.0</w:t>
      </w:r>
      <w:r>
        <w:tab/>
      </w:r>
      <w:r>
        <w:tab/>
      </w:r>
      <w:r>
        <w:rPr>
          <w:rFonts w:ascii="Arial" w:hAnsi="Arial"/>
          <w:sz w:val="20"/>
        </w:rPr>
        <w:t>16.0</w:t>
      </w:r>
    </w:p>
    <w:p w:rsidR="00AB3AED" w:rsidRPr="00D2427A" w:rsidRDefault="00AB3AED" w:rsidP="00AB3AED">
      <w:pPr>
        <w:pStyle w:val="ListParagraph"/>
        <w:numPr>
          <w:ilvl w:val="2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Significant Wave Height Hs</w:t>
      </w:r>
      <w:r>
        <w:tab/>
      </w:r>
      <w:r>
        <w:rPr>
          <w:rFonts w:ascii="Arial" w:hAnsi="Arial"/>
          <w:sz w:val="20"/>
        </w:rPr>
        <w:t>Meters</w:t>
      </w:r>
      <w:r>
        <w:tab/>
      </w:r>
      <w:r>
        <w:rPr>
          <w:rFonts w:ascii="Arial" w:hAnsi="Arial"/>
          <w:sz w:val="20"/>
        </w:rPr>
        <w:t>4.0</w:t>
      </w:r>
      <w:r>
        <w:tab/>
      </w:r>
      <w:r>
        <w:tab/>
      </w:r>
      <w:r>
        <w:rPr>
          <w:rFonts w:ascii="Arial" w:hAnsi="Arial"/>
          <w:sz w:val="20"/>
        </w:rPr>
        <w:t>3.0</w:t>
      </w:r>
    </w:p>
    <w:p w:rsidR="00AB3AED" w:rsidRPr="00D2427A" w:rsidRDefault="00AB3AED" w:rsidP="00AB3AED">
      <w:pPr>
        <w:pStyle w:val="ListParagraph"/>
        <w:numPr>
          <w:ilvl w:val="2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Spectral Peak Period</w:t>
      </w:r>
      <w:r>
        <w:tab/>
      </w:r>
      <w:r>
        <w:rPr>
          <w:rFonts w:ascii="Arial" w:hAnsi="Arial"/>
          <w:sz w:val="20"/>
        </w:rPr>
        <w:t>Seconds</w:t>
      </w:r>
      <w:r>
        <w:tab/>
      </w:r>
      <w:r>
        <w:rPr>
          <w:rFonts w:ascii="Arial" w:hAnsi="Arial"/>
          <w:sz w:val="20"/>
        </w:rPr>
        <w:t>10.0</w:t>
      </w:r>
      <w:r>
        <w:tab/>
      </w:r>
      <w:r>
        <w:tab/>
      </w:r>
      <w:r>
        <w:rPr>
          <w:rFonts w:ascii="Arial" w:hAnsi="Arial"/>
          <w:sz w:val="20"/>
        </w:rPr>
        <w:t>8.7</w:t>
      </w:r>
    </w:p>
    <w:p w:rsidR="00AB3AED" w:rsidRPr="00D2427A" w:rsidRDefault="00AB3AED" w:rsidP="00AB3AED">
      <w:pPr>
        <w:pStyle w:val="ListParagraph"/>
        <w:numPr>
          <w:ilvl w:val="2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Wind Velocity (10 minutes)</w:t>
      </w:r>
      <w:r>
        <w:tab/>
      </w:r>
      <w:r>
        <w:rPr>
          <w:rFonts w:ascii="Arial" w:hAnsi="Arial"/>
          <w:sz w:val="20"/>
        </w:rPr>
        <w:t>Knots</w:t>
      </w:r>
      <w:r>
        <w:tab/>
      </w:r>
      <w:r>
        <w:rPr>
          <w:rFonts w:ascii="Arial" w:hAnsi="Arial"/>
          <w:sz w:val="20"/>
        </w:rPr>
        <w:t>35.0</w:t>
      </w:r>
      <w:r>
        <w:tab/>
      </w:r>
      <w:r>
        <w:tab/>
      </w:r>
      <w:r>
        <w:rPr>
          <w:rFonts w:ascii="Arial" w:hAnsi="Arial"/>
          <w:sz w:val="20"/>
        </w:rPr>
        <w:t>35.0</w:t>
      </w:r>
    </w:p>
    <w:p w:rsidR="00AB3AED" w:rsidRPr="00D2427A" w:rsidRDefault="00AB3AED" w:rsidP="00AB3AED">
      <w:pPr>
        <w:pStyle w:val="ListParagraph"/>
        <w:numPr>
          <w:ilvl w:val="2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Surface Current Velocity</w:t>
      </w:r>
      <w:r>
        <w:tab/>
      </w:r>
      <w:r>
        <w:rPr>
          <w:rFonts w:ascii="Arial" w:hAnsi="Arial"/>
          <w:sz w:val="20"/>
        </w:rPr>
        <w:t>Knots</w:t>
      </w:r>
      <w:r>
        <w:tab/>
      </w:r>
      <w:r>
        <w:rPr>
          <w:rFonts w:ascii="Arial" w:hAnsi="Arial"/>
          <w:sz w:val="20"/>
        </w:rPr>
        <w:t>1.96</w:t>
      </w:r>
      <w:r>
        <w:tab/>
      </w:r>
      <w:r>
        <w:tab/>
      </w:r>
      <w:r>
        <w:rPr>
          <w:rFonts w:ascii="Arial" w:hAnsi="Arial"/>
          <w:sz w:val="20"/>
        </w:rPr>
        <w:t>1.96</w:t>
      </w:r>
    </w:p>
    <w:p w:rsidR="00AB3AED" w:rsidRPr="00D2427A" w:rsidRDefault="00AB3AED" w:rsidP="00AB3AED">
      <w:pPr>
        <w:pStyle w:val="ListParagraph"/>
        <w:numPr>
          <w:ilvl w:val="2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Vessel Heading</w:t>
      </w:r>
      <w:r>
        <w:tab/>
      </w:r>
      <w:r>
        <w:rPr>
          <w:rFonts w:ascii="Arial" w:hAnsi="Arial"/>
          <w:sz w:val="20"/>
        </w:rPr>
        <w:t>Degrees</w:t>
      </w:r>
      <w:r>
        <w:tab/>
      </w:r>
      <w:r>
        <w:rPr>
          <w:rFonts w:ascii="Arial" w:hAnsi="Arial"/>
          <w:sz w:val="20"/>
        </w:rPr>
        <w:t>202.5</w:t>
      </w:r>
      <w:r>
        <w:tab/>
      </w:r>
      <w:r>
        <w:tab/>
      </w:r>
      <w:r>
        <w:rPr>
          <w:rFonts w:ascii="Arial" w:hAnsi="Arial"/>
          <w:sz w:val="20"/>
        </w:rPr>
        <w:t>202.5</w:t>
      </w:r>
    </w:p>
    <w:p w:rsidR="00AB3AED" w:rsidRPr="00D2427A" w:rsidRDefault="00664DE7" w:rsidP="00664DE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                                  (Head Sea=180</w:t>
      </w:r>
      <w:r>
        <w:rPr>
          <w:rFonts w:ascii="Arial" w:hAnsi="Arial"/>
          <w:sz w:val="20"/>
          <w:vertAlign w:val="superscript"/>
        </w:rPr>
        <w:t>o</w:t>
      </w:r>
      <w:r>
        <w:rPr>
          <w:rFonts w:ascii="Arial" w:hAnsi="Arial"/>
          <w:sz w:val="20"/>
        </w:rPr>
        <w:t>)</w:t>
      </w:r>
    </w:p>
    <w:p w:rsidR="00AB3AED" w:rsidRPr="00D2427A" w:rsidRDefault="00AB3AED" w:rsidP="00AB3AED">
      <w:pPr>
        <w:pStyle w:val="ListParagraph"/>
        <w:numPr>
          <w:ilvl w:val="2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Wave and wind are assumed to be collinear.</w:t>
      </w:r>
    </w:p>
    <w:p w:rsidR="00664DE7" w:rsidRDefault="00664DE7" w:rsidP="002B4E39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Operational temperature limits - Būtingė SPM buoy is designed for operational temperatures from -20</w:t>
      </w:r>
      <w:r>
        <w:rPr>
          <w:rFonts w:ascii="Arial" w:hAnsi="Arial"/>
          <w:sz w:val="20"/>
          <w:vertAlign w:val="superscript"/>
        </w:rPr>
        <w:t>o</w:t>
      </w:r>
      <w:r>
        <w:rPr>
          <w:rFonts w:ascii="Arial" w:hAnsi="Arial"/>
          <w:sz w:val="20"/>
        </w:rPr>
        <w:t>C to +32</w:t>
      </w:r>
      <w:r>
        <w:rPr>
          <w:rFonts w:ascii="Arial" w:hAnsi="Arial"/>
          <w:sz w:val="20"/>
          <w:vertAlign w:val="superscript"/>
        </w:rPr>
        <w:t>o</w:t>
      </w:r>
      <w:r>
        <w:rPr>
          <w:rFonts w:ascii="Arial" w:hAnsi="Arial"/>
          <w:sz w:val="20"/>
        </w:rPr>
        <w:t>C.</w:t>
      </w:r>
    </w:p>
    <w:p w:rsidR="002B4E39" w:rsidRDefault="000E3972" w:rsidP="00513E43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Spare SPM buoy</w:t>
      </w:r>
      <w:r w:rsidR="00513E43" w:rsidRPr="00513E43">
        <w:t xml:space="preserve"> </w:t>
      </w:r>
      <w:r w:rsidR="00513E43">
        <w:t>(</w:t>
      </w:r>
      <w:r w:rsidR="00513E43" w:rsidRPr="00513E43">
        <w:rPr>
          <w:rFonts w:ascii="Arial" w:hAnsi="Arial"/>
          <w:sz w:val="20"/>
        </w:rPr>
        <w:t>SPM 1792</w:t>
      </w:r>
      <w:r w:rsidR="00513E43">
        <w:rPr>
          <w:rFonts w:ascii="Arial" w:hAnsi="Arial"/>
          <w:sz w:val="20"/>
        </w:rPr>
        <w:t>)</w:t>
      </w:r>
      <w:r>
        <w:rPr>
          <w:rFonts w:ascii="Arial" w:hAnsi="Arial"/>
          <w:sz w:val="20"/>
        </w:rPr>
        <w:t xml:space="preserve"> moored at the quayside of Klaipėda Seaport must be fitted for operation under conditions and in location described above.</w:t>
      </w:r>
    </w:p>
    <w:p w:rsidR="00901E05" w:rsidRDefault="00901E05" w:rsidP="000A269F">
      <w:pPr>
        <w:pStyle w:val="ListParagraph"/>
        <w:spacing w:after="0"/>
        <w:ind w:left="716"/>
        <w:jc w:val="both"/>
        <w:rPr>
          <w:rFonts w:ascii="Arial" w:hAnsi="Arial" w:cs="Arial"/>
          <w:sz w:val="20"/>
          <w:szCs w:val="20"/>
        </w:rPr>
      </w:pPr>
    </w:p>
    <w:p w:rsidR="00901E05" w:rsidRDefault="00901E05" w:rsidP="000A269F">
      <w:pPr>
        <w:pStyle w:val="ListParagraph"/>
        <w:spacing w:after="0"/>
        <w:ind w:left="716"/>
        <w:jc w:val="both"/>
        <w:rPr>
          <w:rFonts w:ascii="Arial" w:hAnsi="Arial" w:cs="Arial"/>
          <w:sz w:val="20"/>
          <w:szCs w:val="20"/>
        </w:rPr>
      </w:pPr>
    </w:p>
    <w:p w:rsidR="000E3972" w:rsidRPr="00BE190B" w:rsidRDefault="000E3972" w:rsidP="00BE190B">
      <w:pPr>
        <w:pStyle w:val="ListParagraph"/>
        <w:numPr>
          <w:ilvl w:val="0"/>
          <w:numId w:val="17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</w:rPr>
        <w:lastRenderedPageBreak/>
        <w:t>General Scope of Work and Work Specifics:</w:t>
      </w:r>
    </w:p>
    <w:p w:rsidR="00BE190B" w:rsidRDefault="00BE190B" w:rsidP="002B4E39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According to technical requirements specified in respective Annexes hereto it is required to prepare detailed engineering designs, to complete and install on the spare SPM buoy the following systems:</w:t>
      </w:r>
    </w:p>
    <w:p w:rsidR="00BE190B" w:rsidRDefault="00ED5BA2" w:rsidP="00BE190B">
      <w:pPr>
        <w:pStyle w:val="ListParagraph"/>
        <w:numPr>
          <w:ilvl w:val="2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T</w:t>
      </w:r>
      <w:r w:rsidR="00A01958">
        <w:rPr>
          <w:rFonts w:ascii="Arial" w:hAnsi="Arial"/>
          <w:sz w:val="20"/>
        </w:rPr>
        <w:t xml:space="preserve">elemetry </w:t>
      </w:r>
      <w:r w:rsidR="00513E43">
        <w:rPr>
          <w:rFonts w:ascii="Arial" w:hAnsi="Arial"/>
          <w:sz w:val="20"/>
        </w:rPr>
        <w:t xml:space="preserve">and navigation </w:t>
      </w:r>
      <w:r w:rsidR="00A01958">
        <w:rPr>
          <w:rFonts w:ascii="Arial" w:hAnsi="Arial"/>
          <w:sz w:val="20"/>
        </w:rPr>
        <w:t>system</w:t>
      </w:r>
      <w:r w:rsidR="00513E43">
        <w:rPr>
          <w:rFonts w:ascii="Arial" w:hAnsi="Arial"/>
          <w:sz w:val="20"/>
        </w:rPr>
        <w:t xml:space="preserve"> (Attachment No.1)</w:t>
      </w:r>
      <w:r w:rsidR="00A01958">
        <w:rPr>
          <w:rFonts w:ascii="Arial" w:hAnsi="Arial"/>
          <w:sz w:val="20"/>
        </w:rPr>
        <w:t xml:space="preserve">; </w:t>
      </w:r>
    </w:p>
    <w:p w:rsidR="00BE190B" w:rsidRDefault="00513E43" w:rsidP="00BE190B">
      <w:pPr>
        <w:pStyle w:val="ListParagraph"/>
        <w:numPr>
          <w:ilvl w:val="2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Power supply system (Attachment No.2)</w:t>
      </w:r>
      <w:r w:rsidR="00116C6D">
        <w:rPr>
          <w:rFonts w:ascii="Arial" w:hAnsi="Arial"/>
          <w:sz w:val="20"/>
        </w:rPr>
        <w:t>;</w:t>
      </w:r>
    </w:p>
    <w:p w:rsidR="00A01958" w:rsidRDefault="00513E43" w:rsidP="00A01958">
      <w:pPr>
        <w:pStyle w:val="ListParagraph"/>
        <w:numPr>
          <w:ilvl w:val="2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Automation</w:t>
      </w:r>
      <w:r w:rsidR="00A01958">
        <w:rPr>
          <w:rFonts w:ascii="Arial" w:hAnsi="Arial"/>
          <w:sz w:val="20"/>
        </w:rPr>
        <w:t xml:space="preserve"> system</w:t>
      </w:r>
      <w:r>
        <w:rPr>
          <w:rFonts w:ascii="Arial" w:hAnsi="Arial"/>
          <w:sz w:val="20"/>
        </w:rPr>
        <w:t xml:space="preserve"> part (Attachment No</w:t>
      </w:r>
      <w:r w:rsidR="00A01958">
        <w:rPr>
          <w:rFonts w:ascii="Arial" w:hAnsi="Arial"/>
          <w:sz w:val="20"/>
        </w:rPr>
        <w:t>.</w:t>
      </w:r>
      <w:r>
        <w:rPr>
          <w:rFonts w:ascii="Arial" w:hAnsi="Arial"/>
          <w:sz w:val="20"/>
        </w:rPr>
        <w:t>3).</w:t>
      </w:r>
      <w:r w:rsidR="00A01958">
        <w:rPr>
          <w:rFonts w:ascii="Arial" w:hAnsi="Arial"/>
          <w:sz w:val="20"/>
        </w:rPr>
        <w:t xml:space="preserve"> </w:t>
      </w:r>
    </w:p>
    <w:p w:rsidR="00857FA7" w:rsidRPr="00A01958" w:rsidRDefault="00857FA7" w:rsidP="00A01958">
      <w:pPr>
        <w:pStyle w:val="ListParagraph"/>
        <w:spacing w:after="0"/>
        <w:ind w:left="122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Design for each system must be prepared separately.</w:t>
      </w:r>
    </w:p>
    <w:p w:rsidR="00227557" w:rsidRPr="00227557" w:rsidRDefault="00513E43" w:rsidP="00513E43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13E43">
        <w:rPr>
          <w:rFonts w:ascii="Arial" w:hAnsi="Arial"/>
          <w:sz w:val="20"/>
        </w:rPr>
        <w:t>The design and implementation of the systems can be implemented by a single contractor with subcontractors, or by separate contractors for each system. The contractor who undertakes to implement all systems will have priority in evaluating the proposals received.</w:t>
      </w:r>
      <w:r w:rsidR="00227557" w:rsidRPr="00227557">
        <w:rPr>
          <w:rFonts w:ascii="Arial" w:hAnsi="Arial"/>
          <w:sz w:val="20"/>
        </w:rPr>
        <w:t xml:space="preserve"> </w:t>
      </w:r>
    </w:p>
    <w:p w:rsidR="006E3A2E" w:rsidRPr="00227557" w:rsidRDefault="006E3A2E" w:rsidP="00227557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227557">
        <w:rPr>
          <w:rFonts w:ascii="Arial" w:hAnsi="Arial"/>
          <w:sz w:val="20"/>
        </w:rPr>
        <w:t>Contractor shall perform all installation works under the designs as well as any other works arising during installation as required to ensure safe and proper operational conditions.</w:t>
      </w:r>
    </w:p>
    <w:p w:rsidR="00A9742E" w:rsidRPr="00F101CF" w:rsidRDefault="000143FD" w:rsidP="00BE190B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Contractor must arrange certification of the designs and equipment installed. Certification must be done by certification body DNV GL Lietuva, contacts:</w:t>
      </w:r>
    </w:p>
    <w:p w:rsidR="00A9742E" w:rsidRPr="00F101CF" w:rsidRDefault="00A9742E" w:rsidP="00F101CF">
      <w:pPr>
        <w:pStyle w:val="ListParagraph"/>
        <w:spacing w:after="0"/>
        <w:ind w:left="71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                                             </w:t>
      </w:r>
      <w:r>
        <w:rPr>
          <w:rFonts w:ascii="Arial" w:hAnsi="Arial" w:cs="Arial"/>
          <w:noProof/>
          <w:sz w:val="20"/>
          <w:szCs w:val="20"/>
          <w:lang w:val="lt-LT" w:eastAsia="lt-LT" w:bidi="ar-SA"/>
        </w:rPr>
        <w:drawing>
          <wp:inline distT="0" distB="0" distL="0" distR="0" wp14:anchorId="1EC6CEE6" wp14:editId="4BFC1E67">
            <wp:extent cx="2216150" cy="1044393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150" cy="1044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3FD" w:rsidRDefault="0098757E" w:rsidP="00F101CF">
      <w:pPr>
        <w:pStyle w:val="ListParagraph"/>
        <w:spacing w:after="0"/>
        <w:ind w:left="71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Certification costs must be taken into account by the Contractor.</w:t>
      </w:r>
    </w:p>
    <w:p w:rsidR="0088634B" w:rsidRDefault="0088634B" w:rsidP="00BE190B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Contractor shall perform pre-commissioning works for the systems. Works must be performed by the specialists of manufacturer or respective certified engineers.</w:t>
      </w:r>
    </w:p>
    <w:p w:rsidR="00857FA7" w:rsidRDefault="00857FA7" w:rsidP="00513E43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Installation works will be performed in the dock (address – </w:t>
      </w:r>
      <w:proofErr w:type="spellStart"/>
      <w:r w:rsidR="00513E43">
        <w:rPr>
          <w:rFonts w:ascii="Arial" w:hAnsi="Arial"/>
          <w:sz w:val="20"/>
        </w:rPr>
        <w:t>Priespilio</w:t>
      </w:r>
      <w:proofErr w:type="spellEnd"/>
      <w:r w:rsidR="00513E43">
        <w:rPr>
          <w:rFonts w:ascii="Arial" w:hAnsi="Arial"/>
          <w:sz w:val="20"/>
        </w:rPr>
        <w:t xml:space="preserve"> g. 9, Klaipe</w:t>
      </w:r>
      <w:r w:rsidR="00513E43" w:rsidRPr="00513E43">
        <w:rPr>
          <w:rFonts w:ascii="Arial" w:hAnsi="Arial"/>
          <w:sz w:val="20"/>
        </w:rPr>
        <w:t>da, Li</w:t>
      </w:r>
      <w:r w:rsidR="00513E43">
        <w:rPr>
          <w:rFonts w:ascii="Arial" w:hAnsi="Arial"/>
          <w:sz w:val="20"/>
        </w:rPr>
        <w:t>thuania</w:t>
      </w:r>
      <w:r>
        <w:rPr>
          <w:rFonts w:ascii="Arial" w:hAnsi="Arial"/>
          <w:sz w:val="20"/>
        </w:rPr>
        <w:t>).</w:t>
      </w:r>
    </w:p>
    <w:p w:rsidR="00857FA7" w:rsidRDefault="00513E43" w:rsidP="00513E43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13E43">
        <w:rPr>
          <w:rFonts w:ascii="Arial" w:hAnsi="Arial"/>
          <w:sz w:val="20"/>
        </w:rPr>
        <w:t xml:space="preserve">Since the buoy is not planned to be replaced with the one currently at sea in the near future, the launch/adjustment works will take place at the </w:t>
      </w:r>
      <w:proofErr w:type="spellStart"/>
      <w:r w:rsidRPr="00513E43">
        <w:rPr>
          <w:rFonts w:ascii="Arial" w:hAnsi="Arial"/>
          <w:sz w:val="20"/>
        </w:rPr>
        <w:t>buoy's</w:t>
      </w:r>
      <w:proofErr w:type="spellEnd"/>
      <w:r w:rsidRPr="00513E43">
        <w:rPr>
          <w:rFonts w:ascii="Arial" w:hAnsi="Arial"/>
          <w:sz w:val="20"/>
        </w:rPr>
        <w:t xml:space="preserve"> storage location, therefore the contractor must prepare the appropriate </w:t>
      </w:r>
      <w:r>
        <w:rPr>
          <w:rFonts w:ascii="Arial" w:hAnsi="Arial"/>
          <w:sz w:val="20"/>
        </w:rPr>
        <w:t xml:space="preserve">equipment for </w:t>
      </w:r>
      <w:r w:rsidRPr="00513E43">
        <w:rPr>
          <w:rFonts w:ascii="Arial" w:hAnsi="Arial"/>
          <w:sz w:val="20"/>
        </w:rPr>
        <w:t>pre-commissioning</w:t>
      </w:r>
      <w:r w:rsidR="00857FA7">
        <w:rPr>
          <w:rFonts w:ascii="Arial" w:hAnsi="Arial"/>
          <w:sz w:val="20"/>
        </w:rPr>
        <w:t>.</w:t>
      </w:r>
    </w:p>
    <w:p w:rsidR="0088634B" w:rsidRDefault="0088634B" w:rsidP="00BE190B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After completion of installation works, Contractor must perform required measurements, tests and present measurement, test reports and other technical documentation.</w:t>
      </w:r>
    </w:p>
    <w:p w:rsidR="0088634B" w:rsidRDefault="003E2F8E" w:rsidP="00BE190B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After completion of installation works, Contractor must present data on changes to design solutions as well as </w:t>
      </w:r>
      <w:r w:rsidRPr="00652F25">
        <w:rPr>
          <w:rFonts w:ascii="Arial" w:hAnsi="Arial"/>
          <w:sz w:val="20"/>
        </w:rPr>
        <w:t>AS BUILT</w:t>
      </w:r>
      <w:r>
        <w:rPr>
          <w:rFonts w:ascii="Arial" w:hAnsi="Arial"/>
          <w:sz w:val="20"/>
        </w:rPr>
        <w:t xml:space="preserve"> diagrams.</w:t>
      </w:r>
    </w:p>
    <w:p w:rsidR="003E2F8E" w:rsidRDefault="003E2F8E" w:rsidP="00A01958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Prior to commissioning, Contractor is required to prepare system operation manuals and agree them with the Owner.</w:t>
      </w:r>
    </w:p>
    <w:p w:rsidR="003E2F8E" w:rsidRDefault="003E2F8E" w:rsidP="00BE190B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Prior to commissioning, the Contractor shall train the personnel.</w:t>
      </w:r>
    </w:p>
    <w:p w:rsidR="000143FD" w:rsidRDefault="000143FD" w:rsidP="00BE190B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Available buoy drawings and photos will be provided</w:t>
      </w:r>
      <w:r w:rsidR="00652F25">
        <w:rPr>
          <w:rFonts w:ascii="Arial" w:hAnsi="Arial"/>
          <w:sz w:val="20"/>
        </w:rPr>
        <w:t xml:space="preserve"> by the O</w:t>
      </w:r>
      <w:r>
        <w:rPr>
          <w:rFonts w:ascii="Arial" w:hAnsi="Arial"/>
          <w:sz w:val="20"/>
        </w:rPr>
        <w:t>wner after Contractor signs confidentiality agreement with the Owner.</w:t>
      </w:r>
    </w:p>
    <w:p w:rsidR="003E2F8E" w:rsidRPr="003E2F8E" w:rsidRDefault="003E2F8E" w:rsidP="003E2F8E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3E2F8E" w:rsidRPr="003E2F8E" w:rsidRDefault="003E2F8E" w:rsidP="003E2F8E">
      <w:pPr>
        <w:pStyle w:val="ListParagraph"/>
        <w:numPr>
          <w:ilvl w:val="0"/>
          <w:numId w:val="17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</w:rPr>
        <w:t>Materials and Equipment:</w:t>
      </w:r>
    </w:p>
    <w:p w:rsidR="003E2F8E" w:rsidRDefault="003E2F8E" w:rsidP="00BE190B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Contractor shall furnish all the materials and equipment required for implementation of designs.</w:t>
      </w:r>
    </w:p>
    <w:p w:rsidR="003E2F8E" w:rsidRDefault="006411D5" w:rsidP="00BE190B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Technical documentation shall be submitted together with equipment.</w:t>
      </w:r>
    </w:p>
    <w:p w:rsidR="006411D5" w:rsidRDefault="006411D5" w:rsidP="00BE190B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All machinery and tools required for execution of works shall be provided by Contractor.</w:t>
      </w:r>
    </w:p>
    <w:p w:rsidR="006411D5" w:rsidRPr="006411D5" w:rsidRDefault="006411D5" w:rsidP="006411D5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6411D5" w:rsidRPr="006411D5" w:rsidRDefault="006411D5" w:rsidP="006411D5">
      <w:pPr>
        <w:pStyle w:val="ListParagraph"/>
        <w:numPr>
          <w:ilvl w:val="0"/>
          <w:numId w:val="17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</w:rPr>
        <w:t>Requirements for Contractor and Subcontractors:</w:t>
      </w:r>
    </w:p>
    <w:p w:rsidR="006411D5" w:rsidRDefault="004A33D3" w:rsidP="00CC56CA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Contractor shall provide a list of projects of similar scope executed as a contractor/subcontractor during last 5-10 years. The list must contain the following information: name of company/project, summary of project/completed works specifying installed systems and equipment, their capacity, electricity supply system voltage</w:t>
      </w:r>
      <w:bookmarkStart w:id="0" w:name="_GoBack"/>
      <w:bookmarkEnd w:id="0"/>
      <w:r>
        <w:rPr>
          <w:rFonts w:ascii="Arial" w:hAnsi="Arial"/>
          <w:sz w:val="20"/>
        </w:rPr>
        <w:t xml:space="preserve">, power, type of power sources, manufacturers of main equipment, project budget, contacts of business owners to refer for additional information on installed systems and quality of works.  </w:t>
      </w:r>
    </w:p>
    <w:p w:rsidR="006411D5" w:rsidRDefault="004A33D3" w:rsidP="00BE190B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Contractor must present documents that authorize to perform designing activities in the scope required hereunder.</w:t>
      </w:r>
    </w:p>
    <w:p w:rsidR="004A33D3" w:rsidRDefault="004A33D3" w:rsidP="00BE190B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Contractor must present documents that authorize to perform installation and commissioning activities in the scope required hereunder.</w:t>
      </w:r>
    </w:p>
    <w:p w:rsidR="00BD30B7" w:rsidRPr="00BD30B7" w:rsidRDefault="00BD30B7" w:rsidP="00BD30B7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BD30B7" w:rsidRPr="00BD30B7" w:rsidRDefault="00BD30B7" w:rsidP="00BD30B7">
      <w:pPr>
        <w:pStyle w:val="ListParagraph"/>
        <w:numPr>
          <w:ilvl w:val="0"/>
          <w:numId w:val="17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</w:rPr>
        <w:lastRenderedPageBreak/>
        <w:t>Work schedule (preferred):</w:t>
      </w:r>
    </w:p>
    <w:p w:rsidR="00BD30B7" w:rsidRDefault="00DC2412" w:rsidP="00BE190B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Design </w:t>
      </w:r>
      <w:r w:rsidR="0023773B">
        <w:rPr>
          <w:rFonts w:ascii="Arial" w:hAnsi="Arial"/>
          <w:sz w:val="20"/>
        </w:rPr>
        <w:t>preparation and approval – by 28</w:t>
      </w:r>
      <w:r>
        <w:rPr>
          <w:rFonts w:ascii="Arial" w:hAnsi="Arial"/>
          <w:sz w:val="20"/>
        </w:rPr>
        <w:t xml:space="preserve"> </w:t>
      </w:r>
      <w:r w:rsidR="00513E43">
        <w:rPr>
          <w:rFonts w:ascii="Arial" w:hAnsi="Arial"/>
          <w:sz w:val="20"/>
        </w:rPr>
        <w:t>February</w:t>
      </w:r>
      <w:r w:rsidR="0023773B">
        <w:rPr>
          <w:rFonts w:ascii="Arial" w:hAnsi="Arial"/>
          <w:sz w:val="20"/>
        </w:rPr>
        <w:t xml:space="preserve"> 2026</w:t>
      </w:r>
      <w:r>
        <w:rPr>
          <w:rFonts w:ascii="Arial" w:hAnsi="Arial"/>
          <w:sz w:val="20"/>
        </w:rPr>
        <w:t>.</w:t>
      </w:r>
    </w:p>
    <w:p w:rsidR="00DC2412" w:rsidRDefault="0023773B" w:rsidP="004B6FFB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I</w:t>
      </w:r>
      <w:r w:rsidR="000143FD">
        <w:rPr>
          <w:rFonts w:ascii="Arial" w:hAnsi="Arial"/>
          <w:sz w:val="20"/>
        </w:rPr>
        <w:t>nstallation/pre-</w:t>
      </w:r>
      <w:r>
        <w:rPr>
          <w:rFonts w:ascii="Arial" w:hAnsi="Arial"/>
          <w:sz w:val="20"/>
        </w:rPr>
        <w:t>commissioning works in the dock – by 31 December</w:t>
      </w:r>
      <w:r w:rsidR="000143FD">
        <w:rPr>
          <w:rFonts w:ascii="Arial" w:hAnsi="Arial"/>
          <w:sz w:val="20"/>
        </w:rPr>
        <w:t xml:space="preserve"> 202</w:t>
      </w:r>
      <w:r>
        <w:rPr>
          <w:rFonts w:ascii="Arial" w:hAnsi="Arial"/>
          <w:sz w:val="20"/>
        </w:rPr>
        <w:t>6</w:t>
      </w:r>
      <w:r w:rsidR="000143FD">
        <w:rPr>
          <w:rFonts w:ascii="Arial" w:hAnsi="Arial"/>
          <w:sz w:val="20"/>
        </w:rPr>
        <w:t>.</w:t>
      </w:r>
    </w:p>
    <w:p w:rsidR="00901E05" w:rsidRPr="00BD30B7" w:rsidRDefault="00901E05" w:rsidP="00BD30B7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BD30B7" w:rsidRPr="00BD30B7" w:rsidRDefault="00BD30B7" w:rsidP="00BD30B7">
      <w:pPr>
        <w:pStyle w:val="ListParagraph"/>
        <w:numPr>
          <w:ilvl w:val="0"/>
          <w:numId w:val="17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</w:rPr>
        <w:t>For the evaluation of technical part of the proposal the Contractor shall provide:</w:t>
      </w:r>
    </w:p>
    <w:p w:rsidR="00BD30B7" w:rsidRDefault="00BD30B7" w:rsidP="00BE190B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Analysis of current situation and preliminary descriptions of works.</w:t>
      </w:r>
    </w:p>
    <w:p w:rsidR="00BD30B7" w:rsidRDefault="00E86E61" w:rsidP="00BE190B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Work execution schedule - designing and works in the dock.</w:t>
      </w:r>
    </w:p>
    <w:p w:rsidR="00E86E61" w:rsidRDefault="00E86E61" w:rsidP="00BE190B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Types and technical data of offered equipment.</w:t>
      </w:r>
    </w:p>
    <w:p w:rsidR="007E1438" w:rsidRDefault="007E1438" w:rsidP="00BE190B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Sketch, structural diagrams of offered systems.</w:t>
      </w:r>
    </w:p>
    <w:p w:rsidR="000143FD" w:rsidRDefault="000143FD" w:rsidP="006F5B51">
      <w:pPr>
        <w:pStyle w:val="ListParagraph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E86E61" w:rsidRPr="00E86E61" w:rsidRDefault="00E86E61" w:rsidP="00E86E61">
      <w:pPr>
        <w:pStyle w:val="ListParagraph"/>
        <w:numPr>
          <w:ilvl w:val="0"/>
          <w:numId w:val="17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</w:rPr>
        <w:t>Annexes:</w:t>
      </w:r>
    </w:p>
    <w:p w:rsidR="00E86E61" w:rsidRDefault="0023773B" w:rsidP="00BE190B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Attachment No.1 -</w:t>
      </w:r>
      <w:r w:rsidR="004B6FFB">
        <w:rPr>
          <w:rFonts w:ascii="Arial" w:hAnsi="Arial"/>
          <w:sz w:val="20"/>
        </w:rPr>
        <w:t xml:space="preserve"> Technical requirements for telemetry </w:t>
      </w:r>
      <w:r>
        <w:rPr>
          <w:rFonts w:ascii="Arial" w:hAnsi="Arial"/>
          <w:sz w:val="20"/>
        </w:rPr>
        <w:t xml:space="preserve">and navigation </w:t>
      </w:r>
      <w:r w:rsidR="004B6FFB">
        <w:rPr>
          <w:rFonts w:ascii="Arial" w:hAnsi="Arial"/>
          <w:sz w:val="20"/>
        </w:rPr>
        <w:t>system.</w:t>
      </w:r>
    </w:p>
    <w:p w:rsidR="00116C6D" w:rsidRPr="00901E05" w:rsidRDefault="0023773B" w:rsidP="0023773B">
      <w:pPr>
        <w:pStyle w:val="ListParagraph"/>
        <w:numPr>
          <w:ilvl w:val="1"/>
          <w:numId w:val="17"/>
        </w:numPr>
        <w:rPr>
          <w:rFonts w:ascii="Arial" w:hAnsi="Arial" w:cs="Arial"/>
          <w:sz w:val="20"/>
          <w:szCs w:val="20"/>
        </w:rPr>
      </w:pPr>
      <w:r w:rsidRPr="0023773B">
        <w:rPr>
          <w:rFonts w:ascii="Arial" w:hAnsi="Arial"/>
          <w:sz w:val="20"/>
        </w:rPr>
        <w:t>Attachment No.</w:t>
      </w:r>
      <w:r>
        <w:rPr>
          <w:rFonts w:ascii="Arial" w:hAnsi="Arial"/>
          <w:sz w:val="20"/>
        </w:rPr>
        <w:t>2 -</w:t>
      </w:r>
      <w:r w:rsidRPr="0023773B">
        <w:rPr>
          <w:rFonts w:ascii="Arial" w:hAnsi="Arial"/>
          <w:sz w:val="20"/>
        </w:rPr>
        <w:t xml:space="preserve"> </w:t>
      </w:r>
      <w:r w:rsidR="004B6FFB">
        <w:rPr>
          <w:rFonts w:ascii="Arial" w:hAnsi="Arial"/>
          <w:sz w:val="20"/>
        </w:rPr>
        <w:t xml:space="preserve">Technical Requirements for </w:t>
      </w:r>
      <w:r>
        <w:rPr>
          <w:rFonts w:ascii="Arial" w:hAnsi="Arial"/>
          <w:sz w:val="20"/>
        </w:rPr>
        <w:t>power supply</w:t>
      </w:r>
      <w:r w:rsidR="004B6FFB">
        <w:rPr>
          <w:rFonts w:ascii="Arial" w:hAnsi="Arial"/>
          <w:sz w:val="20"/>
        </w:rPr>
        <w:t xml:space="preserve"> system</w:t>
      </w:r>
      <w:r>
        <w:rPr>
          <w:rFonts w:ascii="Arial" w:hAnsi="Arial"/>
          <w:sz w:val="20"/>
        </w:rPr>
        <w:t xml:space="preserve"> part</w:t>
      </w:r>
      <w:r w:rsidR="004B6FFB">
        <w:rPr>
          <w:rFonts w:ascii="Arial" w:hAnsi="Arial"/>
          <w:sz w:val="20"/>
        </w:rPr>
        <w:t>.</w:t>
      </w:r>
    </w:p>
    <w:p w:rsidR="00E86E61" w:rsidRDefault="0023773B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23773B">
        <w:rPr>
          <w:rFonts w:ascii="Arial" w:hAnsi="Arial"/>
          <w:sz w:val="20"/>
        </w:rPr>
        <w:t>Attachment No.</w:t>
      </w:r>
      <w:r>
        <w:rPr>
          <w:rFonts w:ascii="Arial" w:hAnsi="Arial"/>
          <w:sz w:val="20"/>
        </w:rPr>
        <w:t>3 -</w:t>
      </w:r>
      <w:r w:rsidRPr="0023773B">
        <w:rPr>
          <w:rFonts w:ascii="Arial" w:hAnsi="Arial"/>
          <w:sz w:val="20"/>
        </w:rPr>
        <w:t xml:space="preserve"> </w:t>
      </w:r>
      <w:r w:rsidR="004B6FFB">
        <w:rPr>
          <w:rFonts w:ascii="Arial" w:hAnsi="Arial"/>
          <w:sz w:val="20"/>
        </w:rPr>
        <w:t xml:space="preserve">Technical requirements for </w:t>
      </w:r>
      <w:r>
        <w:rPr>
          <w:rFonts w:ascii="Arial" w:hAnsi="Arial"/>
          <w:sz w:val="20"/>
        </w:rPr>
        <w:t>automation</w:t>
      </w:r>
      <w:r w:rsidR="004B6FFB">
        <w:rPr>
          <w:rFonts w:ascii="Arial" w:hAnsi="Arial"/>
          <w:sz w:val="20"/>
        </w:rPr>
        <w:t xml:space="preserve"> system</w:t>
      </w:r>
      <w:r>
        <w:rPr>
          <w:rFonts w:ascii="Arial" w:hAnsi="Arial"/>
          <w:sz w:val="20"/>
        </w:rPr>
        <w:t xml:space="preserve"> part</w:t>
      </w:r>
      <w:r w:rsidR="004B6FFB">
        <w:rPr>
          <w:rFonts w:ascii="Arial" w:hAnsi="Arial"/>
          <w:sz w:val="20"/>
        </w:rPr>
        <w:t xml:space="preserve">. </w:t>
      </w:r>
    </w:p>
    <w:p w:rsidR="000143FD" w:rsidRPr="00116C6D" w:rsidRDefault="0023773B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23773B">
        <w:rPr>
          <w:rFonts w:ascii="Arial" w:hAnsi="Arial"/>
          <w:sz w:val="20"/>
        </w:rPr>
        <w:t>Attachment No.</w:t>
      </w:r>
      <w:r>
        <w:rPr>
          <w:rFonts w:ascii="Arial" w:hAnsi="Arial"/>
          <w:sz w:val="20"/>
        </w:rPr>
        <w:t>4 -</w:t>
      </w:r>
      <w:r w:rsidRPr="0023773B">
        <w:rPr>
          <w:rFonts w:ascii="Arial" w:hAnsi="Arial"/>
          <w:sz w:val="20"/>
        </w:rPr>
        <w:t xml:space="preserve"> </w:t>
      </w:r>
      <w:r w:rsidR="000143FD">
        <w:rPr>
          <w:rFonts w:ascii="Arial" w:hAnsi="Arial"/>
          <w:sz w:val="20"/>
        </w:rPr>
        <w:t xml:space="preserve">Buoy ex-proof zone drawing. </w:t>
      </w:r>
    </w:p>
    <w:p w:rsidR="00E86E61" w:rsidRDefault="00E86E61" w:rsidP="00E86E61">
      <w:pPr>
        <w:pBdr>
          <w:bottom w:val="single" w:sz="6" w:space="1" w:color="auto"/>
        </w:pBdr>
        <w:spacing w:after="0"/>
        <w:jc w:val="both"/>
        <w:rPr>
          <w:rFonts w:ascii="Arial" w:hAnsi="Arial" w:cs="Arial"/>
          <w:sz w:val="20"/>
          <w:szCs w:val="20"/>
        </w:rPr>
      </w:pPr>
    </w:p>
    <w:p w:rsidR="006D12B3" w:rsidRDefault="006D12B3" w:rsidP="00E86E61">
      <w:pPr>
        <w:pBdr>
          <w:bottom w:val="single" w:sz="6" w:space="1" w:color="auto"/>
        </w:pBdr>
        <w:spacing w:after="0"/>
        <w:jc w:val="both"/>
        <w:rPr>
          <w:rFonts w:ascii="Arial" w:hAnsi="Arial" w:cs="Arial"/>
          <w:sz w:val="20"/>
          <w:szCs w:val="20"/>
        </w:rPr>
      </w:pPr>
    </w:p>
    <w:p w:rsidR="006D12B3" w:rsidRPr="00E86E61" w:rsidRDefault="006D12B3" w:rsidP="00E86E61">
      <w:pPr>
        <w:pBdr>
          <w:bottom w:val="single" w:sz="6" w:space="1" w:color="auto"/>
        </w:pBdr>
        <w:spacing w:after="0"/>
        <w:jc w:val="both"/>
        <w:rPr>
          <w:rFonts w:ascii="Arial" w:hAnsi="Arial" w:cs="Arial"/>
          <w:sz w:val="20"/>
          <w:szCs w:val="20"/>
        </w:rPr>
      </w:pPr>
    </w:p>
    <w:p w:rsidR="006D12B3" w:rsidRPr="004B762F" w:rsidRDefault="006D12B3" w:rsidP="006D12B3">
      <w:pPr>
        <w:spacing w:after="0"/>
        <w:jc w:val="center"/>
        <w:rPr>
          <w:rFonts w:ascii="Arial" w:hAnsi="Arial" w:cs="Arial"/>
          <w:sz w:val="20"/>
          <w:szCs w:val="20"/>
        </w:rPr>
      </w:pPr>
    </w:p>
    <w:sectPr w:rsidR="006D12B3" w:rsidRPr="004B762F" w:rsidSect="000A269F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B1BBA"/>
    <w:multiLevelType w:val="multilevel"/>
    <w:tmpl w:val="FEE2CB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A046ADC"/>
    <w:multiLevelType w:val="hybridMultilevel"/>
    <w:tmpl w:val="23D64B5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83E48"/>
    <w:multiLevelType w:val="hybridMultilevel"/>
    <w:tmpl w:val="22AC7B4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F1732"/>
    <w:multiLevelType w:val="hybridMultilevel"/>
    <w:tmpl w:val="07DA8CA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C6379"/>
    <w:multiLevelType w:val="hybridMultilevel"/>
    <w:tmpl w:val="C958F20A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53D60CC"/>
    <w:multiLevelType w:val="multilevel"/>
    <w:tmpl w:val="CF708A10"/>
    <w:styleLink w:val="Style1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.1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</w:rPr>
    </w:lvl>
  </w:abstractNum>
  <w:abstractNum w:abstractNumId="6" w15:restartNumberingAfterBreak="0">
    <w:nsid w:val="3362731E"/>
    <w:multiLevelType w:val="multilevel"/>
    <w:tmpl w:val="36F854AE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50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5622128A"/>
    <w:multiLevelType w:val="multilevel"/>
    <w:tmpl w:val="F6A47948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59624262"/>
    <w:multiLevelType w:val="hybridMultilevel"/>
    <w:tmpl w:val="F982ADAE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B936243"/>
    <w:multiLevelType w:val="multilevel"/>
    <w:tmpl w:val="CF708A10"/>
    <w:numStyleLink w:val="Style1"/>
  </w:abstractNum>
  <w:abstractNum w:abstractNumId="10" w15:restartNumberingAfterBreak="0">
    <w:nsid w:val="5F9534F5"/>
    <w:multiLevelType w:val="multilevel"/>
    <w:tmpl w:val="02CEEA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FE512BB"/>
    <w:multiLevelType w:val="multilevel"/>
    <w:tmpl w:val="D65074DC"/>
    <w:lvl w:ilvl="0">
      <w:start w:val="1"/>
      <w:numFmt w:val="decimal"/>
      <w:lvlText w:val="%1."/>
      <w:lvlJc w:val="left"/>
      <w:pPr>
        <w:ind w:left="3054" w:hanging="360"/>
      </w:pPr>
    </w:lvl>
    <w:lvl w:ilvl="1">
      <w:start w:val="1"/>
      <w:numFmt w:val="decimal"/>
      <w:lvlText w:val="%1.%2."/>
      <w:lvlJc w:val="left"/>
      <w:pPr>
        <w:ind w:left="3126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3918" w:hanging="504"/>
      </w:pPr>
      <w:rPr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200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4926" w:hanging="792"/>
      </w:pPr>
    </w:lvl>
    <w:lvl w:ilvl="5">
      <w:start w:val="1"/>
      <w:numFmt w:val="decimal"/>
      <w:lvlText w:val="%1.%2.%3.%4.%5.%6."/>
      <w:lvlJc w:val="left"/>
      <w:pPr>
        <w:ind w:left="5430" w:hanging="936"/>
      </w:pPr>
    </w:lvl>
    <w:lvl w:ilvl="6">
      <w:start w:val="1"/>
      <w:numFmt w:val="decimal"/>
      <w:lvlText w:val="%1.%2.%3.%4.%5.%6.%7."/>
      <w:lvlJc w:val="left"/>
      <w:pPr>
        <w:ind w:left="5934" w:hanging="1080"/>
      </w:pPr>
    </w:lvl>
    <w:lvl w:ilvl="7">
      <w:start w:val="1"/>
      <w:numFmt w:val="decimal"/>
      <w:lvlText w:val="%1.%2.%3.%4.%5.%6.%7.%8."/>
      <w:lvlJc w:val="left"/>
      <w:pPr>
        <w:ind w:left="6438" w:hanging="1224"/>
      </w:pPr>
    </w:lvl>
    <w:lvl w:ilvl="8">
      <w:start w:val="1"/>
      <w:numFmt w:val="decimal"/>
      <w:lvlText w:val="%1.%2.%3.%4.%5.%6.%7.%8.%9."/>
      <w:lvlJc w:val="left"/>
      <w:pPr>
        <w:ind w:left="7014" w:hanging="1440"/>
      </w:pPr>
    </w:lvl>
  </w:abstractNum>
  <w:abstractNum w:abstractNumId="12" w15:restartNumberingAfterBreak="0">
    <w:nsid w:val="74C6275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76B26AC"/>
    <w:multiLevelType w:val="hybridMultilevel"/>
    <w:tmpl w:val="953ED658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7DF2742D"/>
    <w:multiLevelType w:val="multilevel"/>
    <w:tmpl w:val="FEE2CB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0"/>
  </w:num>
  <w:num w:numId="5">
    <w:abstractNumId w:val="12"/>
  </w:num>
  <w:num w:numId="6">
    <w:abstractNumId w:val="4"/>
  </w:num>
  <w:num w:numId="7">
    <w:abstractNumId w:val="3"/>
  </w:num>
  <w:num w:numId="8">
    <w:abstractNumId w:val="2"/>
  </w:num>
  <w:num w:numId="9">
    <w:abstractNumId w:val="7"/>
  </w:num>
  <w:num w:numId="10">
    <w:abstractNumId w:val="1"/>
  </w:num>
  <w:num w:numId="11">
    <w:abstractNumId w:val="6"/>
  </w:num>
  <w:num w:numId="12">
    <w:abstractNumId w:val="11"/>
  </w:num>
  <w:num w:numId="13">
    <w:abstractNumId w:val="5"/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32" w:hanging="432"/>
        </w:pPr>
        <w:rPr>
          <w:rFonts w:hint="default"/>
          <w:b w:val="0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21" w:hanging="624"/>
        </w:pPr>
        <w:rPr>
          <w:rFonts w:hint="default"/>
          <w:b w:val="0"/>
          <w:sz w:val="22"/>
          <w:szCs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ind w:left="3054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3126" w:hanging="432"/>
        </w:pPr>
        <w:rPr>
          <w:rFonts w:hint="default"/>
          <w:b w:val="0"/>
          <w:sz w:val="22"/>
          <w:szCs w:val="22"/>
        </w:rPr>
      </w:lvl>
    </w:lvlOverride>
    <w:lvlOverride w:ilvl="2">
      <w:lvl w:ilvl="2">
        <w:start w:val="1"/>
        <w:numFmt w:val="decimal"/>
        <w:lvlText w:val="3.%2.%3."/>
        <w:lvlJc w:val="left"/>
        <w:pPr>
          <w:ind w:left="3918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4422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4926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5430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5934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6438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7014" w:hanging="1440"/>
        </w:pPr>
        <w:rPr>
          <w:rFonts w:hint="default"/>
        </w:rPr>
      </w:lvl>
    </w:lvlOverride>
  </w:num>
  <w:num w:numId="16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b w:val="0"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3059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DB2"/>
    <w:rsid w:val="000143FD"/>
    <w:rsid w:val="0007041A"/>
    <w:rsid w:val="00077374"/>
    <w:rsid w:val="000A269F"/>
    <w:rsid w:val="000B594D"/>
    <w:rsid w:val="000E3972"/>
    <w:rsid w:val="00116C6D"/>
    <w:rsid w:val="0013246E"/>
    <w:rsid w:val="00190B53"/>
    <w:rsid w:val="001C275E"/>
    <w:rsid w:val="001F4D92"/>
    <w:rsid w:val="00227557"/>
    <w:rsid w:val="0023773B"/>
    <w:rsid w:val="00285318"/>
    <w:rsid w:val="002B4E39"/>
    <w:rsid w:val="002B6C38"/>
    <w:rsid w:val="0036391F"/>
    <w:rsid w:val="003E2F8E"/>
    <w:rsid w:val="003E6113"/>
    <w:rsid w:val="0045700C"/>
    <w:rsid w:val="004A0513"/>
    <w:rsid w:val="004A33D3"/>
    <w:rsid w:val="004B6FFB"/>
    <w:rsid w:val="004B762F"/>
    <w:rsid w:val="00513E43"/>
    <w:rsid w:val="005813A5"/>
    <w:rsid w:val="005D1FF4"/>
    <w:rsid w:val="00612654"/>
    <w:rsid w:val="00623FB7"/>
    <w:rsid w:val="006411D5"/>
    <w:rsid w:val="00652F25"/>
    <w:rsid w:val="00664DE7"/>
    <w:rsid w:val="006D12B3"/>
    <w:rsid w:val="006E3A2E"/>
    <w:rsid w:val="006F5B51"/>
    <w:rsid w:val="007055EE"/>
    <w:rsid w:val="00782B8E"/>
    <w:rsid w:val="007C0C0E"/>
    <w:rsid w:val="007E1438"/>
    <w:rsid w:val="008418F6"/>
    <w:rsid w:val="00857FA7"/>
    <w:rsid w:val="00883C26"/>
    <w:rsid w:val="0088634B"/>
    <w:rsid w:val="008C5FDF"/>
    <w:rsid w:val="00901E05"/>
    <w:rsid w:val="0098757E"/>
    <w:rsid w:val="009E668F"/>
    <w:rsid w:val="009F4DB2"/>
    <w:rsid w:val="00A01958"/>
    <w:rsid w:val="00A45C1D"/>
    <w:rsid w:val="00A9742E"/>
    <w:rsid w:val="00AB3AED"/>
    <w:rsid w:val="00BD30B7"/>
    <w:rsid w:val="00BE190B"/>
    <w:rsid w:val="00BE6B84"/>
    <w:rsid w:val="00C90A5E"/>
    <w:rsid w:val="00CC56CA"/>
    <w:rsid w:val="00D04812"/>
    <w:rsid w:val="00D2427A"/>
    <w:rsid w:val="00D66657"/>
    <w:rsid w:val="00DA5D48"/>
    <w:rsid w:val="00DC2412"/>
    <w:rsid w:val="00DC4BA8"/>
    <w:rsid w:val="00DF28C3"/>
    <w:rsid w:val="00E86E61"/>
    <w:rsid w:val="00EB0CBF"/>
    <w:rsid w:val="00ED5BA2"/>
    <w:rsid w:val="00F06B35"/>
    <w:rsid w:val="00F101CF"/>
    <w:rsid w:val="00F12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FA352"/>
  <w15:docId w15:val="{0D0EBEAB-5D12-4852-99BC-60B137347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D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0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C0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B76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1">
    <w:name w:val="Style1"/>
    <w:uiPriority w:val="99"/>
    <w:rsid w:val="004B762F"/>
    <w:pPr>
      <w:numPr>
        <w:numId w:val="13"/>
      </w:numPr>
    </w:pPr>
  </w:style>
  <w:style w:type="paragraph" w:styleId="BodyTextIndent">
    <w:name w:val="Body Text Indent"/>
    <w:basedOn w:val="Normal"/>
    <w:link w:val="BodyTextIndentChar"/>
    <w:rsid w:val="004B762F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4B762F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C0FE8-5669-477A-BF98-1E3A13813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3754</Words>
  <Characters>2140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Saulius Povilavičius</dc:creator>
  <cp:lastModifiedBy>Egidijus Milis</cp:lastModifiedBy>
  <cp:revision>12</cp:revision>
  <cp:lastPrinted>2019-05-27T06:18:00Z</cp:lastPrinted>
  <dcterms:created xsi:type="dcterms:W3CDTF">2019-05-15T05:48:00Z</dcterms:created>
  <dcterms:modified xsi:type="dcterms:W3CDTF">2025-05-12T13:42:00Z</dcterms:modified>
</cp:coreProperties>
</file>