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C1D" w:rsidRDefault="00A45C1D" w:rsidP="00901E05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BŪTINGĖS TERMINALO ATSARGINIO SPM PLŪDURO TELEMETRIJOS,</w:t>
      </w:r>
    </w:p>
    <w:p w:rsidR="0067716E" w:rsidRDefault="00A45C1D" w:rsidP="0067716E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MATAVIMO PRIETAISŲ I</w:t>
      </w:r>
      <w:r w:rsidR="0067716E">
        <w:rPr>
          <w:rFonts w:ascii="Arial" w:hAnsi="Arial" w:cs="Arial"/>
          <w:b/>
          <w:sz w:val="20"/>
          <w:szCs w:val="20"/>
        </w:rPr>
        <w:t>R AUTOMATIKOS, ELEKTROS TEIKIMO</w:t>
      </w:r>
    </w:p>
    <w:p w:rsidR="00A45C1D" w:rsidRDefault="00A45C1D" w:rsidP="00901E05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SISTEMŲ ATNAUJINIMAS</w:t>
      </w:r>
    </w:p>
    <w:p w:rsidR="00A45C1D" w:rsidRDefault="00925202" w:rsidP="00A45C1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2025</w:t>
      </w:r>
      <w:r w:rsidR="00A45C1D">
        <w:rPr>
          <w:rFonts w:ascii="Arial" w:hAnsi="Arial" w:cs="Arial"/>
          <w:sz w:val="20"/>
          <w:szCs w:val="20"/>
        </w:rPr>
        <w:t>-0</w:t>
      </w:r>
      <w:r w:rsidR="00F125F4">
        <w:rPr>
          <w:rFonts w:ascii="Arial" w:hAnsi="Arial" w:cs="Arial"/>
          <w:sz w:val="20"/>
          <w:szCs w:val="20"/>
        </w:rPr>
        <w:t>5</w:t>
      </w:r>
      <w:r w:rsidR="00A45C1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01</w:t>
      </w:r>
    </w:p>
    <w:p w:rsidR="00A45C1D" w:rsidRDefault="00A45C1D" w:rsidP="00A45C1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Juodeikiai, Mažeikių raj.</w:t>
      </w:r>
    </w:p>
    <w:p w:rsidR="004A0513" w:rsidRDefault="004A0513" w:rsidP="001F4D92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4A0513" w:rsidRDefault="002B4E39" w:rsidP="002B4E39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E39">
        <w:rPr>
          <w:rFonts w:ascii="Arial" w:hAnsi="Arial" w:cs="Arial"/>
          <w:b/>
          <w:sz w:val="20"/>
          <w:szCs w:val="20"/>
        </w:rPr>
        <w:t>Esama situacija:</w:t>
      </w:r>
    </w:p>
    <w:p w:rsidR="002B4E39" w:rsidRDefault="00623FB7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4E39">
        <w:rPr>
          <w:rFonts w:ascii="Arial" w:hAnsi="Arial" w:cs="Arial"/>
          <w:sz w:val="20"/>
          <w:szCs w:val="20"/>
        </w:rPr>
        <w:t xml:space="preserve">AB „ORLEN Lietuva“ (toliau – OL) Būtingės terminalo jūrinės dalies </w:t>
      </w:r>
      <w:proofErr w:type="spellStart"/>
      <w:r w:rsidRPr="002B4E39">
        <w:rPr>
          <w:rFonts w:ascii="Arial" w:hAnsi="Arial" w:cs="Arial"/>
          <w:sz w:val="20"/>
          <w:szCs w:val="20"/>
        </w:rPr>
        <w:t>inkaruoto</w:t>
      </w:r>
      <w:proofErr w:type="spellEnd"/>
      <w:r w:rsidRPr="002B4E39">
        <w:rPr>
          <w:rFonts w:ascii="Arial" w:hAnsi="Arial" w:cs="Arial"/>
          <w:sz w:val="20"/>
          <w:szCs w:val="20"/>
        </w:rPr>
        <w:t xml:space="preserve"> vieno tanklaivio prišvartavimo plūduras (toliau – SPM), skirtas naftos iškr</w:t>
      </w:r>
      <w:bookmarkStart w:id="0" w:name="_GoBack"/>
      <w:bookmarkEnd w:id="0"/>
      <w:r w:rsidRPr="002B4E39">
        <w:rPr>
          <w:rFonts w:ascii="Arial" w:hAnsi="Arial" w:cs="Arial"/>
          <w:sz w:val="20"/>
          <w:szCs w:val="20"/>
        </w:rPr>
        <w:t>ovimui iš tanklaivių, yra sumontuotas jūroje apie 7,3 km atstumu nuo kranto. Jūros gylis SPM plūduro vietoje yra apie 22 m. Atstumas nuo SPM plūduro iki Lietuvos – Latvijos sienos yra 1 jūrmylė į šiaurę.</w:t>
      </w:r>
      <w:r w:rsidR="002B4E39">
        <w:rPr>
          <w:rFonts w:ascii="Arial" w:hAnsi="Arial" w:cs="Arial"/>
          <w:sz w:val="20"/>
          <w:szCs w:val="20"/>
        </w:rPr>
        <w:t xml:space="preserve"> </w:t>
      </w:r>
    </w:p>
    <w:p w:rsidR="00623FB7" w:rsidRPr="002B4E39" w:rsidRDefault="00623FB7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4E39">
        <w:rPr>
          <w:rFonts w:ascii="Arial" w:hAnsi="Arial" w:cs="Arial"/>
          <w:sz w:val="20"/>
          <w:szCs w:val="20"/>
        </w:rPr>
        <w:t xml:space="preserve">Terminalo jūrinės dalies atsakomybės rajoną sudaro Būtingės terminalo akvatorija, </w:t>
      </w:r>
      <w:proofErr w:type="spellStart"/>
      <w:r w:rsidRPr="002B4E39">
        <w:rPr>
          <w:rFonts w:ascii="Arial" w:hAnsi="Arial" w:cs="Arial"/>
          <w:sz w:val="20"/>
          <w:szCs w:val="20"/>
        </w:rPr>
        <w:t>inkaravietės</w:t>
      </w:r>
      <w:proofErr w:type="spellEnd"/>
      <w:r w:rsidRPr="002B4E39">
        <w:rPr>
          <w:rFonts w:ascii="Arial" w:hAnsi="Arial" w:cs="Arial"/>
          <w:sz w:val="20"/>
          <w:szCs w:val="20"/>
        </w:rPr>
        <w:t xml:space="preserve"> rajonas ir laivybos koridorius</w:t>
      </w:r>
      <w:r w:rsidR="007C0C0E" w:rsidRPr="002B4E39">
        <w:rPr>
          <w:rFonts w:ascii="Arial" w:hAnsi="Arial" w:cs="Arial"/>
          <w:sz w:val="20"/>
          <w:szCs w:val="20"/>
        </w:rPr>
        <w:t>:</w:t>
      </w:r>
    </w:p>
    <w:p w:rsidR="007C0C0E" w:rsidRDefault="007C0C0E" w:rsidP="00623FB7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lt-LT"/>
        </w:rPr>
        <w:drawing>
          <wp:inline distT="0" distB="0" distL="0" distR="0" wp14:anchorId="35856D98" wp14:editId="5ACA29DF">
            <wp:extent cx="4763068" cy="25189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M geografij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375" cy="2518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C0E" w:rsidRDefault="007C0C0E" w:rsidP="00623FB7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2B4E39" w:rsidRDefault="002B4E39" w:rsidP="00623FB7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7C0C0E" w:rsidRDefault="007C0C0E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Terminalo dispečerinė nuo kranto linijos nutolusi 2,5 km į rytus, jos koordinatės: N – 56</w:t>
      </w:r>
      <w:r w:rsidRPr="002B4E39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02‘46“, E – 21</w:t>
      </w:r>
      <w:r w:rsidRPr="007C0C0E"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02‘41“.</w:t>
      </w:r>
    </w:p>
    <w:p w:rsidR="007C0C0E" w:rsidRDefault="007C0C0E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4E39">
        <w:rPr>
          <w:rFonts w:ascii="Arial" w:hAnsi="Arial" w:cs="Arial"/>
          <w:sz w:val="20"/>
          <w:szCs w:val="20"/>
        </w:rPr>
        <w:t>SPM plūduras yra jūroje, 7,3 km nuo kranto, jo koordinatės: N – 56</w:t>
      </w:r>
      <w:r w:rsidRPr="002B4E39">
        <w:rPr>
          <w:rFonts w:ascii="Arial" w:hAnsi="Arial" w:cs="Arial"/>
          <w:sz w:val="20"/>
          <w:szCs w:val="20"/>
          <w:vertAlign w:val="superscript"/>
        </w:rPr>
        <w:t>o</w:t>
      </w:r>
      <w:r w:rsidRPr="002B4E39">
        <w:rPr>
          <w:rFonts w:ascii="Arial" w:hAnsi="Arial" w:cs="Arial"/>
          <w:sz w:val="20"/>
          <w:szCs w:val="20"/>
        </w:rPr>
        <w:t>02’47,30“, E – 20</w:t>
      </w:r>
      <w:r w:rsidRPr="002B4E39">
        <w:rPr>
          <w:rFonts w:ascii="Arial" w:hAnsi="Arial" w:cs="Arial"/>
          <w:sz w:val="20"/>
          <w:szCs w:val="20"/>
          <w:vertAlign w:val="superscript"/>
        </w:rPr>
        <w:t>o</w:t>
      </w:r>
      <w:r w:rsidRPr="002B4E39">
        <w:rPr>
          <w:rFonts w:ascii="Arial" w:hAnsi="Arial" w:cs="Arial"/>
          <w:sz w:val="20"/>
          <w:szCs w:val="20"/>
        </w:rPr>
        <w:t>57’36,50“.</w:t>
      </w:r>
    </w:p>
    <w:p w:rsidR="00782B8E" w:rsidRDefault="00782B8E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4E39">
        <w:rPr>
          <w:rFonts w:ascii="Arial" w:hAnsi="Arial" w:cs="Arial"/>
          <w:sz w:val="20"/>
          <w:szCs w:val="20"/>
        </w:rPr>
        <w:t>SPM plūduro nejudanti dalis (</w:t>
      </w:r>
      <w:proofErr w:type="spellStart"/>
      <w:r w:rsidRPr="002B4E39">
        <w:rPr>
          <w:rFonts w:ascii="Arial" w:hAnsi="Arial" w:cs="Arial"/>
          <w:sz w:val="20"/>
          <w:szCs w:val="20"/>
        </w:rPr>
        <w:t>Hull</w:t>
      </w:r>
      <w:proofErr w:type="spellEnd"/>
      <w:r w:rsidRPr="002B4E39">
        <w:rPr>
          <w:rFonts w:ascii="Arial" w:hAnsi="Arial" w:cs="Arial"/>
          <w:sz w:val="20"/>
          <w:szCs w:val="20"/>
        </w:rPr>
        <w:t>) inkarais pritvirtinta prie jūros dugno. SPM plūduro judanti dalis – pasukamoji plokštė (</w:t>
      </w:r>
      <w:proofErr w:type="spellStart"/>
      <w:r w:rsidRPr="002B4E39">
        <w:rPr>
          <w:rFonts w:ascii="Arial" w:hAnsi="Arial" w:cs="Arial"/>
          <w:sz w:val="20"/>
          <w:szCs w:val="20"/>
        </w:rPr>
        <w:t>Turntable</w:t>
      </w:r>
      <w:proofErr w:type="spellEnd"/>
      <w:r w:rsidRPr="002B4E39">
        <w:rPr>
          <w:rFonts w:ascii="Arial" w:hAnsi="Arial" w:cs="Arial"/>
          <w:sz w:val="20"/>
          <w:szCs w:val="20"/>
        </w:rPr>
        <w:t>) gali laisvai suktis 360</w:t>
      </w:r>
      <w:r w:rsidRPr="002B4E39">
        <w:rPr>
          <w:rFonts w:ascii="Arial" w:hAnsi="Arial" w:cs="Arial"/>
          <w:sz w:val="20"/>
          <w:szCs w:val="20"/>
          <w:vertAlign w:val="superscript"/>
        </w:rPr>
        <w:t>o</w:t>
      </w:r>
      <w:r w:rsidRPr="002B4E39">
        <w:rPr>
          <w:rFonts w:ascii="Arial" w:hAnsi="Arial" w:cs="Arial"/>
          <w:sz w:val="20"/>
          <w:szCs w:val="20"/>
        </w:rPr>
        <w:t xml:space="preserve"> kampu.</w:t>
      </w:r>
    </w:p>
    <w:p w:rsidR="00AB3AED" w:rsidRDefault="00AB3AED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Būtingės SPM plūduras yra suprojektuotas</w:t>
      </w:r>
      <w:r w:rsidR="0043689C">
        <w:rPr>
          <w:rFonts w:ascii="Arial" w:hAnsi="Arial" w:cs="Arial"/>
          <w:sz w:val="20"/>
          <w:szCs w:val="20"/>
        </w:rPr>
        <w:t xml:space="preserve"> atlaikyti 54 m/s (105 </w:t>
      </w:r>
      <w:proofErr w:type="spellStart"/>
      <w:r w:rsidR="0043689C">
        <w:rPr>
          <w:rFonts w:ascii="Arial" w:hAnsi="Arial" w:cs="Arial"/>
          <w:sz w:val="20"/>
          <w:szCs w:val="20"/>
        </w:rPr>
        <w:t>kts</w:t>
      </w:r>
      <w:proofErr w:type="spellEnd"/>
      <w:r w:rsidR="0043689C">
        <w:rPr>
          <w:rFonts w:ascii="Arial" w:hAnsi="Arial" w:cs="Arial"/>
          <w:sz w:val="20"/>
          <w:szCs w:val="20"/>
        </w:rPr>
        <w:t>) 1 minutės trukmės vėjo gūsius ir</w:t>
      </w:r>
      <w:proofErr w:type="gramStart"/>
      <w:r w:rsidR="004368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sz w:val="20"/>
          <w:szCs w:val="20"/>
        </w:rPr>
        <w:t>darbui su prišvartuotais 150 000 DWT dydžio tanklaiviais. Maksimalios darbo sąlygos yra: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Nominal DWT of Tankers</w:t>
      </w:r>
      <w:r w:rsidRPr="00D2427A">
        <w:rPr>
          <w:rFonts w:ascii="Arial" w:hAnsi="Arial" w:cs="Arial"/>
          <w:sz w:val="20"/>
          <w:szCs w:val="20"/>
          <w:lang w:val="en-US"/>
        </w:rPr>
        <w:tab/>
        <w:t>Unit</w:t>
      </w:r>
      <w:r w:rsidRPr="00D2427A">
        <w:rPr>
          <w:rFonts w:ascii="Arial" w:hAnsi="Arial" w:cs="Arial"/>
          <w:sz w:val="20"/>
          <w:szCs w:val="20"/>
          <w:lang w:val="en-US"/>
        </w:rPr>
        <w:tab/>
        <w:t>120 000 DWT</w:t>
      </w:r>
      <w:r w:rsidRPr="00D2427A">
        <w:rPr>
          <w:rFonts w:ascii="Arial" w:hAnsi="Arial" w:cs="Arial"/>
          <w:sz w:val="20"/>
          <w:szCs w:val="20"/>
          <w:lang w:val="en-US"/>
        </w:rPr>
        <w:tab/>
      </w:r>
      <w:r w:rsidRPr="00D2427A">
        <w:rPr>
          <w:rFonts w:ascii="Arial" w:hAnsi="Arial" w:cs="Arial"/>
          <w:sz w:val="20"/>
          <w:szCs w:val="20"/>
          <w:lang w:val="en-US"/>
        </w:rPr>
        <w:tab/>
        <w:t>150 000 DWT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Maximum Ship Draft</w:t>
      </w:r>
      <w:r w:rsidRPr="00D2427A">
        <w:rPr>
          <w:rFonts w:ascii="Arial" w:hAnsi="Arial" w:cs="Arial"/>
          <w:sz w:val="20"/>
          <w:szCs w:val="20"/>
          <w:lang w:val="en-US"/>
        </w:rPr>
        <w:tab/>
        <w:t>Meters</w:t>
      </w:r>
      <w:r w:rsidRPr="00D2427A">
        <w:rPr>
          <w:rFonts w:ascii="Arial" w:hAnsi="Arial" w:cs="Arial"/>
          <w:sz w:val="20"/>
          <w:szCs w:val="20"/>
          <w:lang w:val="en-US"/>
        </w:rPr>
        <w:tab/>
        <w:t>15.0</w:t>
      </w:r>
      <w:r w:rsidRPr="00D2427A">
        <w:rPr>
          <w:rFonts w:ascii="Arial" w:hAnsi="Arial" w:cs="Arial"/>
          <w:sz w:val="20"/>
          <w:szCs w:val="20"/>
          <w:lang w:val="en-US"/>
        </w:rPr>
        <w:tab/>
      </w:r>
      <w:r w:rsidRPr="00D2427A">
        <w:rPr>
          <w:rFonts w:ascii="Arial" w:hAnsi="Arial" w:cs="Arial"/>
          <w:sz w:val="20"/>
          <w:szCs w:val="20"/>
          <w:lang w:val="en-US"/>
        </w:rPr>
        <w:tab/>
        <w:t>16.0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Significant Wave Height Hs</w:t>
      </w:r>
      <w:r w:rsidRPr="00D2427A">
        <w:rPr>
          <w:rFonts w:ascii="Arial" w:hAnsi="Arial" w:cs="Arial"/>
          <w:sz w:val="20"/>
          <w:szCs w:val="20"/>
          <w:lang w:val="en-US"/>
        </w:rPr>
        <w:tab/>
        <w:t>Meters</w:t>
      </w:r>
      <w:r w:rsidRPr="00D2427A">
        <w:rPr>
          <w:rFonts w:ascii="Arial" w:hAnsi="Arial" w:cs="Arial"/>
          <w:sz w:val="20"/>
          <w:szCs w:val="20"/>
          <w:lang w:val="en-US"/>
        </w:rPr>
        <w:tab/>
        <w:t>4.0</w:t>
      </w:r>
      <w:r w:rsidRPr="00D2427A">
        <w:rPr>
          <w:rFonts w:ascii="Arial" w:hAnsi="Arial" w:cs="Arial"/>
          <w:sz w:val="20"/>
          <w:szCs w:val="20"/>
          <w:lang w:val="en-US"/>
        </w:rPr>
        <w:tab/>
      </w:r>
      <w:r w:rsidRPr="00D2427A">
        <w:rPr>
          <w:rFonts w:ascii="Arial" w:hAnsi="Arial" w:cs="Arial"/>
          <w:sz w:val="20"/>
          <w:szCs w:val="20"/>
          <w:lang w:val="en-US"/>
        </w:rPr>
        <w:tab/>
        <w:t>3.0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Spectral Peak Period</w:t>
      </w:r>
      <w:r w:rsidRPr="00D2427A">
        <w:rPr>
          <w:rFonts w:ascii="Arial" w:hAnsi="Arial" w:cs="Arial"/>
          <w:sz w:val="20"/>
          <w:szCs w:val="20"/>
          <w:lang w:val="en-US"/>
        </w:rPr>
        <w:tab/>
        <w:t>Seconds</w:t>
      </w:r>
      <w:r w:rsidRPr="00D2427A">
        <w:rPr>
          <w:rFonts w:ascii="Arial" w:hAnsi="Arial" w:cs="Arial"/>
          <w:sz w:val="20"/>
          <w:szCs w:val="20"/>
          <w:lang w:val="en-US"/>
        </w:rPr>
        <w:tab/>
        <w:t>10.0</w:t>
      </w:r>
      <w:r w:rsidRPr="00D2427A">
        <w:rPr>
          <w:rFonts w:ascii="Arial" w:hAnsi="Arial" w:cs="Arial"/>
          <w:sz w:val="20"/>
          <w:szCs w:val="20"/>
          <w:lang w:val="en-US"/>
        </w:rPr>
        <w:tab/>
      </w:r>
      <w:r w:rsidRPr="00D2427A">
        <w:rPr>
          <w:rFonts w:ascii="Arial" w:hAnsi="Arial" w:cs="Arial"/>
          <w:sz w:val="20"/>
          <w:szCs w:val="20"/>
          <w:lang w:val="en-US"/>
        </w:rPr>
        <w:tab/>
        <w:t>8.7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Wind Velocity (10 minutes)</w:t>
      </w:r>
      <w:r w:rsidRPr="00D2427A">
        <w:rPr>
          <w:rFonts w:ascii="Arial" w:hAnsi="Arial" w:cs="Arial"/>
          <w:sz w:val="20"/>
          <w:szCs w:val="20"/>
          <w:lang w:val="en-US"/>
        </w:rPr>
        <w:tab/>
        <w:t>Knots</w:t>
      </w:r>
      <w:r w:rsidRPr="00D2427A">
        <w:rPr>
          <w:rFonts w:ascii="Arial" w:hAnsi="Arial" w:cs="Arial"/>
          <w:sz w:val="20"/>
          <w:szCs w:val="20"/>
          <w:lang w:val="en-US"/>
        </w:rPr>
        <w:tab/>
        <w:t>35.0</w:t>
      </w:r>
      <w:r w:rsidRPr="00D2427A">
        <w:rPr>
          <w:rFonts w:ascii="Arial" w:hAnsi="Arial" w:cs="Arial"/>
          <w:sz w:val="20"/>
          <w:szCs w:val="20"/>
          <w:lang w:val="en-US"/>
        </w:rPr>
        <w:tab/>
      </w:r>
      <w:r w:rsidRPr="00D2427A">
        <w:rPr>
          <w:rFonts w:ascii="Arial" w:hAnsi="Arial" w:cs="Arial"/>
          <w:sz w:val="20"/>
          <w:szCs w:val="20"/>
          <w:lang w:val="en-US"/>
        </w:rPr>
        <w:tab/>
        <w:t>35.0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Surface Current Velocity</w:t>
      </w:r>
      <w:r w:rsidRPr="00D2427A">
        <w:rPr>
          <w:rFonts w:ascii="Arial" w:hAnsi="Arial" w:cs="Arial"/>
          <w:sz w:val="20"/>
          <w:szCs w:val="20"/>
          <w:lang w:val="en-US"/>
        </w:rPr>
        <w:tab/>
        <w:t>Knots</w:t>
      </w:r>
      <w:r w:rsidRPr="00D2427A">
        <w:rPr>
          <w:rFonts w:ascii="Arial" w:hAnsi="Arial" w:cs="Arial"/>
          <w:sz w:val="20"/>
          <w:szCs w:val="20"/>
          <w:lang w:val="en-US"/>
        </w:rPr>
        <w:tab/>
        <w:t>1.96</w:t>
      </w:r>
      <w:r w:rsidRPr="00D2427A">
        <w:rPr>
          <w:rFonts w:ascii="Arial" w:hAnsi="Arial" w:cs="Arial"/>
          <w:sz w:val="20"/>
          <w:szCs w:val="20"/>
          <w:lang w:val="en-US"/>
        </w:rPr>
        <w:tab/>
      </w:r>
      <w:r w:rsidRPr="00D2427A">
        <w:rPr>
          <w:rFonts w:ascii="Arial" w:hAnsi="Arial" w:cs="Arial"/>
          <w:sz w:val="20"/>
          <w:szCs w:val="20"/>
          <w:lang w:val="en-US"/>
        </w:rPr>
        <w:tab/>
        <w:t>1.96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Vessel Heading</w:t>
      </w:r>
      <w:r w:rsidRPr="00D2427A">
        <w:rPr>
          <w:rFonts w:ascii="Arial" w:hAnsi="Arial" w:cs="Arial"/>
          <w:sz w:val="20"/>
          <w:szCs w:val="20"/>
          <w:lang w:val="en-US"/>
        </w:rPr>
        <w:tab/>
        <w:t>Degrees</w:t>
      </w:r>
      <w:r w:rsidRPr="00D2427A">
        <w:rPr>
          <w:rFonts w:ascii="Arial" w:hAnsi="Arial" w:cs="Arial"/>
          <w:sz w:val="20"/>
          <w:szCs w:val="20"/>
          <w:lang w:val="en-US"/>
        </w:rPr>
        <w:tab/>
        <w:t>202.5</w:t>
      </w:r>
      <w:r w:rsidRPr="00D2427A">
        <w:rPr>
          <w:rFonts w:ascii="Arial" w:hAnsi="Arial" w:cs="Arial"/>
          <w:sz w:val="20"/>
          <w:szCs w:val="20"/>
          <w:lang w:val="en-US"/>
        </w:rPr>
        <w:tab/>
      </w:r>
      <w:r w:rsidRPr="00D2427A">
        <w:rPr>
          <w:rFonts w:ascii="Arial" w:hAnsi="Arial" w:cs="Arial"/>
          <w:sz w:val="20"/>
          <w:szCs w:val="20"/>
          <w:lang w:val="en-US"/>
        </w:rPr>
        <w:tab/>
        <w:t>202.5</w:t>
      </w:r>
    </w:p>
    <w:p w:rsidR="00AB3AED" w:rsidRPr="00D2427A" w:rsidRDefault="00664DE7" w:rsidP="00664DE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 xml:space="preserve">                                  </w:t>
      </w:r>
      <w:r w:rsidR="00AB3AED" w:rsidRPr="00D2427A">
        <w:rPr>
          <w:rFonts w:ascii="Arial" w:hAnsi="Arial" w:cs="Arial"/>
          <w:sz w:val="20"/>
          <w:szCs w:val="20"/>
          <w:lang w:val="en-US"/>
        </w:rPr>
        <w:t>(Head Sea=180</w:t>
      </w:r>
      <w:r w:rsidR="00AB3AED" w:rsidRPr="00D2427A">
        <w:rPr>
          <w:rFonts w:ascii="Arial" w:hAnsi="Arial" w:cs="Arial"/>
          <w:sz w:val="20"/>
          <w:szCs w:val="20"/>
          <w:vertAlign w:val="superscript"/>
          <w:lang w:val="en-US"/>
        </w:rPr>
        <w:t>o</w:t>
      </w:r>
      <w:r w:rsidR="00AB3AED" w:rsidRPr="00D2427A">
        <w:rPr>
          <w:rFonts w:ascii="Arial" w:hAnsi="Arial" w:cs="Arial"/>
          <w:sz w:val="20"/>
          <w:szCs w:val="20"/>
          <w:lang w:val="en-US"/>
        </w:rPr>
        <w:t>)</w:t>
      </w:r>
    </w:p>
    <w:p w:rsidR="00AB3AED" w:rsidRPr="00D2427A" w:rsidRDefault="00AB3AED" w:rsidP="00AB3AED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D2427A">
        <w:rPr>
          <w:rFonts w:ascii="Arial" w:hAnsi="Arial" w:cs="Arial"/>
          <w:sz w:val="20"/>
          <w:szCs w:val="20"/>
          <w:lang w:val="en-US"/>
        </w:rPr>
        <w:t>Wave and wind are assumed to be collinear.</w:t>
      </w:r>
    </w:p>
    <w:p w:rsidR="00664DE7" w:rsidRDefault="00664DE7" w:rsidP="002B4E39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Darbinės temperatūros ribos – Būtingės SPM plūduras suprojektuotas darbui nuo -20</w:t>
      </w:r>
      <w:r w:rsidRPr="00664DE7"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C iki +32</w:t>
      </w:r>
      <w:r w:rsidRPr="00664DE7"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C.</w:t>
      </w:r>
    </w:p>
    <w:p w:rsidR="000E3972" w:rsidRPr="00595D2B" w:rsidRDefault="000E3972" w:rsidP="00595D2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Klaipėdos uoste prie krantinės yra prišvartuotas atsarginis SPM plūduras</w:t>
      </w:r>
      <w:r w:rsidR="00595D2B" w:rsidRPr="00595D2B">
        <w:t xml:space="preserve"> </w:t>
      </w:r>
      <w:r w:rsidR="00595D2B">
        <w:t>(</w:t>
      </w:r>
      <w:r w:rsidR="00595D2B" w:rsidRPr="00595D2B">
        <w:rPr>
          <w:rFonts w:ascii="Arial" w:hAnsi="Arial" w:cs="Arial"/>
          <w:sz w:val="20"/>
          <w:szCs w:val="20"/>
        </w:rPr>
        <w:t>SPM 1792</w:t>
      </w:r>
      <w:r w:rsidR="00595D2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 w:rsidR="00925202">
        <w:rPr>
          <w:rFonts w:ascii="Arial" w:hAnsi="Arial" w:cs="Arial"/>
          <w:sz w:val="20"/>
          <w:szCs w:val="20"/>
        </w:rPr>
        <w:t xml:space="preserve"> kuris</w:t>
      </w:r>
      <w:r>
        <w:rPr>
          <w:rFonts w:ascii="Arial" w:hAnsi="Arial" w:cs="Arial"/>
          <w:sz w:val="20"/>
          <w:szCs w:val="20"/>
        </w:rPr>
        <w:t xml:space="preserve"> turi būti</w:t>
      </w:r>
      <w:r w:rsidR="00925202">
        <w:rPr>
          <w:rFonts w:ascii="Arial" w:hAnsi="Arial" w:cs="Arial"/>
          <w:sz w:val="20"/>
          <w:szCs w:val="20"/>
        </w:rPr>
        <w:t xml:space="preserve"> paruoštas</w:t>
      </w:r>
      <w:r>
        <w:rPr>
          <w:rFonts w:ascii="Arial" w:hAnsi="Arial" w:cs="Arial"/>
          <w:sz w:val="20"/>
          <w:szCs w:val="20"/>
        </w:rPr>
        <w:t xml:space="preserve"> darbui aukščiau nurodytoje vietoje ir sąlygomis.</w:t>
      </w:r>
    </w:p>
    <w:p w:rsidR="00901E05" w:rsidRDefault="00901E05" w:rsidP="000A269F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</w:p>
    <w:p w:rsidR="00901E05" w:rsidRDefault="00901E05" w:rsidP="000A269F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</w:p>
    <w:p w:rsidR="00595D2B" w:rsidRDefault="00595D2B" w:rsidP="000A269F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</w:p>
    <w:p w:rsidR="000E3972" w:rsidRPr="00BE190B" w:rsidRDefault="000E3972" w:rsidP="00BE190B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E190B">
        <w:rPr>
          <w:rFonts w:ascii="Arial" w:hAnsi="Arial" w:cs="Arial"/>
          <w:b/>
          <w:sz w:val="20"/>
          <w:szCs w:val="20"/>
        </w:rPr>
        <w:lastRenderedPageBreak/>
        <w:t>Bendros darbų apimtys ir darbų specifika</w:t>
      </w:r>
      <w:r w:rsidR="00BE190B" w:rsidRPr="00BE190B">
        <w:rPr>
          <w:rFonts w:ascii="Arial" w:hAnsi="Arial" w:cs="Arial"/>
          <w:b/>
          <w:sz w:val="20"/>
          <w:szCs w:val="20"/>
        </w:rPr>
        <w:t>:</w:t>
      </w:r>
    </w:p>
    <w:p w:rsidR="00BE190B" w:rsidRDefault="00BE190B" w:rsidP="008A10C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Pagal atitinkamuose šio dokumento prieduose pateiktus techninius reikalavimus paruošti technin</w:t>
      </w:r>
      <w:r w:rsidR="00857FA7">
        <w:rPr>
          <w:rFonts w:ascii="Arial" w:hAnsi="Arial" w:cs="Arial"/>
          <w:sz w:val="20"/>
          <w:szCs w:val="20"/>
        </w:rPr>
        <w:t>ius</w:t>
      </w:r>
      <w:proofErr w:type="gramStart"/>
      <w:r>
        <w:rPr>
          <w:rFonts w:ascii="Arial" w:hAnsi="Arial" w:cs="Arial"/>
          <w:sz w:val="20"/>
          <w:szCs w:val="20"/>
        </w:rPr>
        <w:t>-</w:t>
      </w:r>
      <w:proofErr w:type="gramEnd"/>
      <w:r>
        <w:rPr>
          <w:rFonts w:ascii="Arial" w:hAnsi="Arial" w:cs="Arial"/>
          <w:sz w:val="20"/>
          <w:szCs w:val="20"/>
        </w:rPr>
        <w:t>darbo projekt</w:t>
      </w:r>
      <w:r w:rsidR="00857FA7">
        <w:rPr>
          <w:rFonts w:ascii="Arial" w:hAnsi="Arial" w:cs="Arial"/>
          <w:sz w:val="20"/>
          <w:szCs w:val="20"/>
        </w:rPr>
        <w:t>us</w:t>
      </w:r>
      <w:r>
        <w:rPr>
          <w:rFonts w:ascii="Arial" w:hAnsi="Arial" w:cs="Arial"/>
          <w:sz w:val="20"/>
          <w:szCs w:val="20"/>
        </w:rPr>
        <w:t>, sukomplektuoti ir ant atsarginio SPM</w:t>
      </w:r>
      <w:r w:rsidR="008A10CB">
        <w:t xml:space="preserve"> </w:t>
      </w:r>
      <w:r w:rsidR="008A10CB" w:rsidRPr="008A10CB">
        <w:rPr>
          <w:rFonts w:ascii="Arial" w:hAnsi="Arial" w:cs="Arial"/>
          <w:sz w:val="20"/>
          <w:szCs w:val="20"/>
        </w:rPr>
        <w:t>1792</w:t>
      </w:r>
      <w:r>
        <w:rPr>
          <w:rFonts w:ascii="Arial" w:hAnsi="Arial" w:cs="Arial"/>
          <w:sz w:val="20"/>
          <w:szCs w:val="20"/>
        </w:rPr>
        <w:t xml:space="preserve"> plūduro sumontuoti ir suderinti šias sistemas:</w:t>
      </w:r>
    </w:p>
    <w:p w:rsidR="00BE190B" w:rsidRDefault="008A10CB" w:rsidP="00222920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222920" w:rsidRPr="00222920">
        <w:rPr>
          <w:rFonts w:ascii="Arial" w:hAnsi="Arial" w:cs="Arial"/>
          <w:sz w:val="20"/>
          <w:szCs w:val="20"/>
        </w:rPr>
        <w:t>el</w:t>
      </w:r>
      <w:r w:rsidR="00222920">
        <w:rPr>
          <w:rFonts w:ascii="Arial" w:hAnsi="Arial" w:cs="Arial"/>
          <w:sz w:val="20"/>
          <w:szCs w:val="20"/>
        </w:rPr>
        <w:t>emetrijos ir navigacijos sistemas (Priedas Nr.1)</w:t>
      </w:r>
      <w:r w:rsidR="00A01958">
        <w:rPr>
          <w:rFonts w:ascii="Arial" w:hAnsi="Arial" w:cs="Arial"/>
          <w:sz w:val="20"/>
          <w:szCs w:val="20"/>
        </w:rPr>
        <w:t>;</w:t>
      </w:r>
      <w:r w:rsidR="00BE190B">
        <w:rPr>
          <w:rFonts w:ascii="Arial" w:hAnsi="Arial" w:cs="Arial"/>
          <w:sz w:val="20"/>
          <w:szCs w:val="20"/>
        </w:rPr>
        <w:t xml:space="preserve"> </w:t>
      </w:r>
    </w:p>
    <w:p w:rsidR="00BE190B" w:rsidRDefault="00222920" w:rsidP="00BE190B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Elektros tiekimo sistemas (Priedas Nr.2)</w:t>
      </w:r>
      <w:r w:rsidR="00691607">
        <w:rPr>
          <w:rFonts w:ascii="Arial" w:hAnsi="Arial" w:cs="Arial"/>
          <w:sz w:val="20"/>
          <w:szCs w:val="20"/>
        </w:rPr>
        <w:t>;</w:t>
      </w:r>
    </w:p>
    <w:p w:rsidR="00A01958" w:rsidRDefault="008A10CB" w:rsidP="00E21090">
      <w:pPr>
        <w:pStyle w:val="ListParagraph"/>
        <w:numPr>
          <w:ilvl w:val="2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E21090" w:rsidRPr="00E21090">
        <w:rPr>
          <w:rFonts w:ascii="Arial" w:hAnsi="Arial" w:cs="Arial"/>
          <w:sz w:val="20"/>
          <w:szCs w:val="20"/>
        </w:rPr>
        <w:t>utomatizacijos dalies</w:t>
      </w:r>
      <w:r w:rsidR="00E21090">
        <w:rPr>
          <w:rFonts w:ascii="Arial" w:hAnsi="Arial" w:cs="Arial"/>
          <w:sz w:val="20"/>
          <w:szCs w:val="20"/>
        </w:rPr>
        <w:t xml:space="preserve"> sistemą (Priedas Nr.3)</w:t>
      </w:r>
      <w:r w:rsidR="00A01958">
        <w:rPr>
          <w:rFonts w:ascii="Arial" w:hAnsi="Arial" w:cs="Arial"/>
          <w:sz w:val="20"/>
          <w:szCs w:val="20"/>
        </w:rPr>
        <w:t>.</w:t>
      </w:r>
      <w:r w:rsidR="00BE190B" w:rsidRPr="00A01958">
        <w:rPr>
          <w:rFonts w:ascii="Arial" w:hAnsi="Arial" w:cs="Arial"/>
          <w:sz w:val="20"/>
          <w:szCs w:val="20"/>
        </w:rPr>
        <w:t xml:space="preserve"> </w:t>
      </w:r>
    </w:p>
    <w:p w:rsidR="00857FA7" w:rsidRPr="00A01958" w:rsidRDefault="00857FA7" w:rsidP="00A01958">
      <w:pPr>
        <w:pStyle w:val="ListParagraph"/>
        <w:spacing w:after="0"/>
        <w:ind w:left="1224"/>
        <w:jc w:val="both"/>
        <w:rPr>
          <w:rFonts w:ascii="Arial" w:hAnsi="Arial" w:cs="Arial"/>
          <w:sz w:val="20"/>
          <w:szCs w:val="20"/>
        </w:rPr>
      </w:pPr>
      <w:r w:rsidRPr="00A01958">
        <w:rPr>
          <w:rFonts w:ascii="Arial" w:hAnsi="Arial" w:cs="Arial"/>
          <w:sz w:val="20"/>
          <w:szCs w:val="20"/>
        </w:rPr>
        <w:t>Projektai ruošiami kiekvienai daliai atskirai.</w:t>
      </w:r>
    </w:p>
    <w:p w:rsidR="002B4E39" w:rsidRDefault="00BE190B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2B4E39" w:rsidRPr="00BE190B">
        <w:rPr>
          <w:rFonts w:ascii="Arial" w:hAnsi="Arial" w:cs="Arial"/>
          <w:sz w:val="20"/>
          <w:szCs w:val="20"/>
        </w:rPr>
        <w:t>istem</w:t>
      </w:r>
      <w:r w:rsidR="00E21090">
        <w:rPr>
          <w:rFonts w:ascii="Arial" w:hAnsi="Arial" w:cs="Arial"/>
          <w:sz w:val="20"/>
          <w:szCs w:val="20"/>
        </w:rPr>
        <w:t xml:space="preserve">ų </w:t>
      </w:r>
      <w:r w:rsidR="00226884">
        <w:rPr>
          <w:rFonts w:ascii="Arial" w:hAnsi="Arial" w:cs="Arial"/>
          <w:sz w:val="20"/>
          <w:szCs w:val="20"/>
        </w:rPr>
        <w:t xml:space="preserve">projektavimą ir </w:t>
      </w:r>
      <w:r w:rsidR="00E21090">
        <w:rPr>
          <w:rFonts w:ascii="Arial" w:hAnsi="Arial" w:cs="Arial"/>
          <w:sz w:val="20"/>
          <w:szCs w:val="20"/>
        </w:rPr>
        <w:t>diegimą</w:t>
      </w:r>
      <w:r w:rsidR="002B4E39" w:rsidRPr="00BE190B">
        <w:rPr>
          <w:rFonts w:ascii="Arial" w:hAnsi="Arial" w:cs="Arial"/>
          <w:sz w:val="20"/>
          <w:szCs w:val="20"/>
        </w:rPr>
        <w:t xml:space="preserve"> gali įgyvendinti vienas rangovas</w:t>
      </w:r>
      <w:r>
        <w:rPr>
          <w:rFonts w:ascii="Arial" w:hAnsi="Arial" w:cs="Arial"/>
          <w:sz w:val="20"/>
          <w:szCs w:val="20"/>
        </w:rPr>
        <w:t xml:space="preserve"> su subrangovais</w:t>
      </w:r>
      <w:r w:rsidR="002B4E39" w:rsidRPr="00BE190B">
        <w:rPr>
          <w:rFonts w:ascii="Arial" w:hAnsi="Arial" w:cs="Arial"/>
          <w:sz w:val="20"/>
          <w:szCs w:val="20"/>
        </w:rPr>
        <w:t>, arba</w:t>
      </w:r>
      <w:r>
        <w:rPr>
          <w:rFonts w:ascii="Arial" w:hAnsi="Arial" w:cs="Arial"/>
          <w:sz w:val="20"/>
          <w:szCs w:val="20"/>
        </w:rPr>
        <w:t xml:space="preserve"> atskiri</w:t>
      </w:r>
      <w:r w:rsidR="002B4E39" w:rsidRPr="00BE190B">
        <w:rPr>
          <w:rFonts w:ascii="Arial" w:hAnsi="Arial" w:cs="Arial"/>
          <w:sz w:val="20"/>
          <w:szCs w:val="20"/>
        </w:rPr>
        <w:t xml:space="preserve"> rangovai</w:t>
      </w:r>
      <w:r w:rsidR="000143FD">
        <w:rPr>
          <w:rFonts w:ascii="Arial" w:hAnsi="Arial" w:cs="Arial"/>
          <w:sz w:val="20"/>
          <w:szCs w:val="20"/>
        </w:rPr>
        <w:t xml:space="preserve"> kiekvienai sistemai</w:t>
      </w:r>
      <w:r w:rsidR="002B4E39" w:rsidRPr="00BE190B">
        <w:rPr>
          <w:rFonts w:ascii="Arial" w:hAnsi="Arial" w:cs="Arial"/>
          <w:sz w:val="20"/>
          <w:szCs w:val="20"/>
        </w:rPr>
        <w:t>. Rangovas, apsiėmęs įgyvendinti visas sistemas, turės prioritetą</w:t>
      </w:r>
      <w:r w:rsidR="00857FA7">
        <w:rPr>
          <w:rFonts w:ascii="Arial" w:hAnsi="Arial" w:cs="Arial"/>
          <w:sz w:val="20"/>
          <w:szCs w:val="20"/>
        </w:rPr>
        <w:t>,</w:t>
      </w:r>
      <w:r w:rsidR="002B4E39" w:rsidRPr="00BE190B">
        <w:rPr>
          <w:rFonts w:ascii="Arial" w:hAnsi="Arial" w:cs="Arial"/>
          <w:sz w:val="20"/>
          <w:szCs w:val="20"/>
        </w:rPr>
        <w:t xml:space="preserve"> vertinant gautus pasiūlymus.</w:t>
      </w:r>
    </w:p>
    <w:p w:rsidR="006E3A2E" w:rsidRDefault="006E3A2E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Rangovas atlieka visus projekt</w:t>
      </w:r>
      <w:r w:rsidR="00857FA7">
        <w:rPr>
          <w:rFonts w:ascii="Arial" w:hAnsi="Arial" w:cs="Arial"/>
          <w:sz w:val="20"/>
          <w:szCs w:val="20"/>
        </w:rPr>
        <w:t xml:space="preserve">uose </w:t>
      </w:r>
      <w:r>
        <w:rPr>
          <w:rFonts w:ascii="Arial" w:hAnsi="Arial" w:cs="Arial"/>
          <w:sz w:val="20"/>
          <w:szCs w:val="20"/>
        </w:rPr>
        <w:t>numaty</w:t>
      </w:r>
      <w:r w:rsidR="0088634B">
        <w:rPr>
          <w:rFonts w:ascii="Arial" w:hAnsi="Arial" w:cs="Arial"/>
          <w:sz w:val="20"/>
          <w:szCs w:val="20"/>
        </w:rPr>
        <w:t>tus montavimo darbus ir kitus</w:t>
      </w:r>
      <w:r w:rsidR="00857FA7">
        <w:rPr>
          <w:rFonts w:ascii="Arial" w:hAnsi="Arial" w:cs="Arial"/>
          <w:sz w:val="20"/>
          <w:szCs w:val="20"/>
        </w:rPr>
        <w:t>,</w:t>
      </w:r>
      <w:r w:rsidR="0088634B">
        <w:rPr>
          <w:rFonts w:ascii="Arial" w:hAnsi="Arial" w:cs="Arial"/>
          <w:sz w:val="20"/>
          <w:szCs w:val="20"/>
        </w:rPr>
        <w:t xml:space="preserve"> montavimo metu</w:t>
      </w:r>
      <w:r w:rsidR="00226884">
        <w:rPr>
          <w:rFonts w:ascii="Arial" w:hAnsi="Arial" w:cs="Arial"/>
          <w:sz w:val="20"/>
          <w:szCs w:val="20"/>
        </w:rPr>
        <w:t xml:space="preserve"> pagal poreikį</w:t>
      </w:r>
      <w:r w:rsidR="0088634B">
        <w:rPr>
          <w:rFonts w:ascii="Arial" w:hAnsi="Arial" w:cs="Arial"/>
          <w:sz w:val="20"/>
          <w:szCs w:val="20"/>
        </w:rPr>
        <w:t xml:space="preserve"> iškilusius darbus, kurie turi užtikrinti saugias ir teisingas eksploatavimo sąlygas.</w:t>
      </w:r>
    </w:p>
    <w:p w:rsidR="00A9742E" w:rsidRPr="00691607" w:rsidRDefault="000143FD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Rangovas </w:t>
      </w:r>
      <w:r w:rsidR="0098757E">
        <w:rPr>
          <w:rFonts w:ascii="Arial" w:hAnsi="Arial" w:cs="Arial"/>
          <w:sz w:val="20"/>
          <w:szCs w:val="20"/>
        </w:rPr>
        <w:t xml:space="preserve">privalo sertifikuoti atliktus </w:t>
      </w:r>
      <w:r>
        <w:rPr>
          <w:rFonts w:ascii="Arial" w:hAnsi="Arial" w:cs="Arial"/>
          <w:sz w:val="20"/>
          <w:szCs w:val="20"/>
        </w:rPr>
        <w:t>projektus</w:t>
      </w:r>
      <w:r w:rsidR="0098757E">
        <w:rPr>
          <w:rFonts w:ascii="Arial" w:hAnsi="Arial" w:cs="Arial"/>
          <w:sz w:val="20"/>
          <w:szCs w:val="20"/>
        </w:rPr>
        <w:t xml:space="preserve"> ir</w:t>
      </w:r>
      <w:r w:rsidR="00D66657">
        <w:rPr>
          <w:rFonts w:ascii="Arial" w:hAnsi="Arial" w:cs="Arial"/>
          <w:sz w:val="20"/>
          <w:szCs w:val="20"/>
        </w:rPr>
        <w:t xml:space="preserve"> </w:t>
      </w:r>
      <w:r w:rsidR="0098757E">
        <w:rPr>
          <w:rFonts w:ascii="Arial" w:hAnsi="Arial" w:cs="Arial"/>
          <w:sz w:val="20"/>
          <w:szCs w:val="20"/>
        </w:rPr>
        <w:t xml:space="preserve">sumontuotą </w:t>
      </w:r>
      <w:r w:rsidR="00D66657">
        <w:rPr>
          <w:rFonts w:ascii="Arial" w:hAnsi="Arial" w:cs="Arial"/>
          <w:sz w:val="20"/>
          <w:szCs w:val="20"/>
        </w:rPr>
        <w:t>įrang</w:t>
      </w:r>
      <w:r w:rsidR="0098757E">
        <w:rPr>
          <w:rFonts w:ascii="Arial" w:hAnsi="Arial" w:cs="Arial"/>
          <w:sz w:val="20"/>
          <w:szCs w:val="20"/>
        </w:rPr>
        <w:t>ą.</w:t>
      </w:r>
      <w:r w:rsidR="00D66657">
        <w:rPr>
          <w:rFonts w:ascii="Arial" w:hAnsi="Arial" w:cs="Arial"/>
          <w:sz w:val="20"/>
          <w:szCs w:val="20"/>
        </w:rPr>
        <w:t xml:space="preserve"> </w:t>
      </w:r>
      <w:r w:rsidR="0098757E" w:rsidRPr="00691607">
        <w:rPr>
          <w:rFonts w:ascii="Arial" w:hAnsi="Arial" w:cs="Arial"/>
          <w:sz w:val="20"/>
          <w:szCs w:val="20"/>
        </w:rPr>
        <w:t>Sertifikavimą privalo atlikti</w:t>
      </w:r>
      <w:r w:rsidR="00A9742E" w:rsidRPr="00691607">
        <w:rPr>
          <w:rFonts w:ascii="Arial" w:hAnsi="Arial" w:cs="Arial"/>
          <w:sz w:val="20"/>
          <w:szCs w:val="20"/>
        </w:rPr>
        <w:t xml:space="preserve"> sertifikavimo kompanija DNV GL Lietuva, </w:t>
      </w:r>
      <w:r w:rsidR="00F06B35">
        <w:rPr>
          <w:rFonts w:ascii="Arial" w:hAnsi="Arial" w:cs="Arial"/>
          <w:sz w:val="20"/>
          <w:szCs w:val="20"/>
        </w:rPr>
        <w:t>kontaktai</w:t>
      </w:r>
      <w:r w:rsidR="00A9742E" w:rsidRPr="00691607">
        <w:rPr>
          <w:rFonts w:ascii="Arial" w:hAnsi="Arial" w:cs="Arial"/>
          <w:sz w:val="20"/>
          <w:szCs w:val="20"/>
        </w:rPr>
        <w:t>:</w:t>
      </w:r>
    </w:p>
    <w:p w:rsidR="00A9742E" w:rsidRPr="00691607" w:rsidRDefault="00A9742E" w:rsidP="00691607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noProof/>
          <w:sz w:val="20"/>
          <w:szCs w:val="20"/>
          <w:lang w:eastAsia="lt-LT"/>
        </w:rPr>
        <w:drawing>
          <wp:inline distT="0" distB="0" distL="0" distR="0">
            <wp:extent cx="2216150" cy="1044393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104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3FD" w:rsidRDefault="0098757E" w:rsidP="00691607">
      <w:pPr>
        <w:pStyle w:val="ListParagraph"/>
        <w:spacing w:after="0"/>
        <w:ind w:left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Sertifikavimo</w:t>
      </w:r>
      <w:r w:rsidR="000143FD">
        <w:rPr>
          <w:rFonts w:ascii="Arial" w:hAnsi="Arial" w:cs="Arial"/>
          <w:sz w:val="20"/>
          <w:szCs w:val="20"/>
        </w:rPr>
        <w:t xml:space="preserve"> sąnaudas</w:t>
      </w:r>
      <w:r w:rsidR="00226884">
        <w:rPr>
          <w:rFonts w:ascii="Arial" w:hAnsi="Arial" w:cs="Arial"/>
          <w:sz w:val="20"/>
          <w:szCs w:val="20"/>
        </w:rPr>
        <w:t xml:space="preserve"> teikdamas pasiūlymą</w:t>
      </w:r>
      <w:r w:rsidR="000143FD">
        <w:rPr>
          <w:rFonts w:ascii="Arial" w:hAnsi="Arial" w:cs="Arial"/>
          <w:sz w:val="20"/>
          <w:szCs w:val="20"/>
        </w:rPr>
        <w:t xml:space="preserve"> įsivertina Rangovas.</w:t>
      </w:r>
    </w:p>
    <w:p w:rsidR="0088634B" w:rsidRDefault="0088634B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Rangovas atlieka sistemų paleidimo</w:t>
      </w:r>
      <w:r w:rsidR="00857FA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derinimo darbus. Darbus turi atlikti gamyklos</w:t>
      </w:r>
      <w:proofErr w:type="gramStart"/>
      <w:r>
        <w:rPr>
          <w:rFonts w:ascii="Arial" w:hAnsi="Arial" w:cs="Arial"/>
          <w:sz w:val="20"/>
          <w:szCs w:val="20"/>
        </w:rPr>
        <w:t>-</w:t>
      </w:r>
      <w:proofErr w:type="gramEnd"/>
      <w:r>
        <w:rPr>
          <w:rFonts w:ascii="Arial" w:hAnsi="Arial" w:cs="Arial"/>
          <w:sz w:val="20"/>
          <w:szCs w:val="20"/>
        </w:rPr>
        <w:t>gamintojos specialistai arba atitinkami sertifikuoti inžinieriai.</w:t>
      </w:r>
    </w:p>
    <w:p w:rsidR="00857FA7" w:rsidRDefault="00857FA7" w:rsidP="00226884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Montavimo darbai bus atliekami </w:t>
      </w:r>
      <w:r w:rsidR="00226884">
        <w:rPr>
          <w:rFonts w:ascii="Arial" w:hAnsi="Arial" w:cs="Arial"/>
          <w:sz w:val="20"/>
          <w:szCs w:val="20"/>
        </w:rPr>
        <w:t>rezervinio plūduro laikymo vietoje – Klaipėdos laivų remonto teritorijoje</w:t>
      </w:r>
      <w:r w:rsidR="00190B53">
        <w:rPr>
          <w:rFonts w:ascii="Arial" w:hAnsi="Arial" w:cs="Arial"/>
          <w:sz w:val="20"/>
          <w:szCs w:val="20"/>
        </w:rPr>
        <w:t xml:space="preserve"> (adresas – </w:t>
      </w:r>
      <w:proofErr w:type="spellStart"/>
      <w:r w:rsidR="00226884">
        <w:rPr>
          <w:rFonts w:ascii="Arial" w:hAnsi="Arial" w:cs="Arial"/>
          <w:sz w:val="20"/>
          <w:szCs w:val="20"/>
        </w:rPr>
        <w:t>Priešpilio</w:t>
      </w:r>
      <w:proofErr w:type="spellEnd"/>
      <w:r w:rsidR="00226884">
        <w:rPr>
          <w:rFonts w:ascii="Arial" w:hAnsi="Arial" w:cs="Arial"/>
          <w:sz w:val="20"/>
          <w:szCs w:val="20"/>
        </w:rPr>
        <w:t xml:space="preserve"> g. 9</w:t>
      </w:r>
      <w:r w:rsidR="00226884" w:rsidRPr="00226884">
        <w:rPr>
          <w:rFonts w:ascii="Arial" w:hAnsi="Arial" w:cs="Arial"/>
          <w:sz w:val="20"/>
          <w:szCs w:val="20"/>
        </w:rPr>
        <w:t>, Klaipėda</w:t>
      </w:r>
      <w:r w:rsidR="00612654">
        <w:rPr>
          <w:rFonts w:ascii="Arial" w:hAnsi="Arial" w:cs="Arial"/>
          <w:sz w:val="20"/>
          <w:szCs w:val="20"/>
        </w:rPr>
        <w:t>, Lietuva</w:t>
      </w:r>
      <w:r>
        <w:rPr>
          <w:rFonts w:ascii="Arial" w:hAnsi="Arial" w:cs="Arial"/>
          <w:sz w:val="20"/>
          <w:szCs w:val="20"/>
        </w:rPr>
        <w:t>)</w:t>
      </w:r>
    </w:p>
    <w:p w:rsidR="002B6C38" w:rsidRDefault="00226884" w:rsidP="00691607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Kadangi plūduro artimiausiu metu neplanuojama keisti su esančiu jūroje, p</w:t>
      </w:r>
      <w:r w:rsidR="00857FA7">
        <w:rPr>
          <w:rFonts w:ascii="Arial" w:hAnsi="Arial" w:cs="Arial"/>
          <w:sz w:val="20"/>
          <w:szCs w:val="20"/>
        </w:rPr>
        <w:t xml:space="preserve">aleidimo/derinimo darbai vyks </w:t>
      </w:r>
      <w:r>
        <w:rPr>
          <w:rFonts w:ascii="Arial" w:hAnsi="Arial" w:cs="Arial"/>
          <w:sz w:val="20"/>
          <w:szCs w:val="20"/>
        </w:rPr>
        <w:t>plūduro saugojimo vietoje</w:t>
      </w:r>
      <w:r w:rsidR="00912C24">
        <w:rPr>
          <w:rFonts w:ascii="Arial" w:hAnsi="Arial" w:cs="Arial"/>
          <w:sz w:val="20"/>
          <w:szCs w:val="20"/>
        </w:rPr>
        <w:t>,</w:t>
      </w:r>
      <w:r w:rsidR="00691607">
        <w:rPr>
          <w:rFonts w:ascii="Arial" w:hAnsi="Arial" w:cs="Arial"/>
          <w:sz w:val="20"/>
          <w:szCs w:val="20"/>
        </w:rPr>
        <w:t xml:space="preserve"> </w:t>
      </w:r>
      <w:r w:rsidR="002B6C38">
        <w:rPr>
          <w:rFonts w:ascii="Arial" w:hAnsi="Arial" w:cs="Arial"/>
          <w:sz w:val="20"/>
          <w:szCs w:val="20"/>
        </w:rPr>
        <w:t>todėl rangovas turi atitinkami paruošti įrangą paleidim</w:t>
      </w:r>
      <w:r w:rsidR="00912C24">
        <w:rPr>
          <w:rFonts w:ascii="Arial" w:hAnsi="Arial" w:cs="Arial"/>
          <w:sz w:val="20"/>
          <w:szCs w:val="20"/>
        </w:rPr>
        <w:t>ui</w:t>
      </w:r>
      <w:r w:rsidR="002B6C38">
        <w:rPr>
          <w:rFonts w:ascii="Arial" w:hAnsi="Arial" w:cs="Arial"/>
          <w:sz w:val="20"/>
          <w:szCs w:val="20"/>
        </w:rPr>
        <w:t>/derinim</w:t>
      </w:r>
      <w:r w:rsidR="00912C24">
        <w:rPr>
          <w:rFonts w:ascii="Arial" w:hAnsi="Arial" w:cs="Arial"/>
          <w:sz w:val="20"/>
          <w:szCs w:val="20"/>
        </w:rPr>
        <w:t>ui</w:t>
      </w:r>
      <w:r w:rsidR="002B6C38">
        <w:rPr>
          <w:rFonts w:ascii="Arial" w:hAnsi="Arial" w:cs="Arial"/>
          <w:sz w:val="20"/>
          <w:szCs w:val="20"/>
        </w:rPr>
        <w:t>.</w:t>
      </w:r>
    </w:p>
    <w:p w:rsidR="0088634B" w:rsidRDefault="0088634B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montavimo darbų Rangovas privalo atlikti reikiamus matavimus, bandymus ir pateikti matavimų, bandymų protokolus ir kitą techninę dokumentaciją.</w:t>
      </w:r>
    </w:p>
    <w:p w:rsidR="0088634B" w:rsidRDefault="003E2F8E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montavimų darbų pateikti duomenis apie projektinių sprendimų pakeitimus ir schemas su įrašu „Taip pastatyta“.</w:t>
      </w:r>
    </w:p>
    <w:p w:rsidR="003E2F8E" w:rsidRDefault="003E2F8E" w:rsidP="00A01958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Iki įvedimo į eksploataciją paruošti ir suderinti su Užsakovu sistemų eksploatavimo instrukcijas.</w:t>
      </w:r>
    </w:p>
    <w:p w:rsidR="003E2F8E" w:rsidRDefault="003E2F8E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Iki įvedimo į eksploataciją pravesti Užsakovo personalo mokymus.</w:t>
      </w:r>
    </w:p>
    <w:p w:rsidR="000143FD" w:rsidRDefault="000143FD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Esamo plūduro turimus brėžinius ir nuotraukas Užsakovas pateiks, kai Rangovas pasirašys konfidencialumo sutartį su Užsakovu.</w:t>
      </w:r>
    </w:p>
    <w:p w:rsidR="003E2F8E" w:rsidRPr="003E2F8E" w:rsidRDefault="003E2F8E" w:rsidP="003E2F8E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3E2F8E" w:rsidRPr="003E2F8E" w:rsidRDefault="003E2F8E" w:rsidP="003E2F8E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E2F8E">
        <w:rPr>
          <w:rFonts w:ascii="Arial" w:hAnsi="Arial" w:cs="Arial"/>
          <w:b/>
          <w:sz w:val="20"/>
          <w:szCs w:val="20"/>
        </w:rPr>
        <w:t>Medžiagos ir įranga:</w:t>
      </w:r>
    </w:p>
    <w:p w:rsidR="003E2F8E" w:rsidRDefault="003E2F8E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Rangovas privalo pateikti visas medžiagas ir įrangą, būtinas projekt</w:t>
      </w:r>
      <w:r w:rsidR="00857FA7">
        <w:rPr>
          <w:rFonts w:ascii="Arial" w:hAnsi="Arial" w:cs="Arial"/>
          <w:sz w:val="20"/>
          <w:szCs w:val="20"/>
        </w:rPr>
        <w:t>ų</w:t>
      </w:r>
      <w:r>
        <w:rPr>
          <w:rFonts w:ascii="Arial" w:hAnsi="Arial" w:cs="Arial"/>
          <w:sz w:val="20"/>
          <w:szCs w:val="20"/>
        </w:rPr>
        <w:t xml:space="preserve"> įgyvendinimui.</w:t>
      </w:r>
    </w:p>
    <w:p w:rsidR="003E2F8E" w:rsidRDefault="006411D5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Kartu su įranga turi būti pateikta </w:t>
      </w:r>
      <w:r w:rsidR="009E668F">
        <w:rPr>
          <w:rFonts w:ascii="Arial" w:hAnsi="Arial" w:cs="Arial"/>
          <w:sz w:val="20"/>
          <w:szCs w:val="20"/>
        </w:rPr>
        <w:t>įrangos techni</w:t>
      </w:r>
      <w:r>
        <w:rPr>
          <w:rFonts w:ascii="Arial" w:hAnsi="Arial" w:cs="Arial"/>
          <w:sz w:val="20"/>
          <w:szCs w:val="20"/>
        </w:rPr>
        <w:t>nė dokumentacija.</w:t>
      </w:r>
    </w:p>
    <w:p w:rsidR="006411D5" w:rsidRDefault="00912C24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Rangovas pats apsirūpina į</w:t>
      </w:r>
      <w:r w:rsidR="006411D5">
        <w:rPr>
          <w:rFonts w:ascii="Arial" w:hAnsi="Arial" w:cs="Arial"/>
          <w:sz w:val="20"/>
          <w:szCs w:val="20"/>
        </w:rPr>
        <w:t>rengimais ir darbo priemonėmis, būtinomis darbų atlikimui</w:t>
      </w:r>
      <w:r>
        <w:rPr>
          <w:rFonts w:ascii="Arial" w:hAnsi="Arial" w:cs="Arial"/>
          <w:sz w:val="20"/>
          <w:szCs w:val="20"/>
        </w:rPr>
        <w:t>.</w:t>
      </w:r>
    </w:p>
    <w:p w:rsidR="006411D5" w:rsidRPr="006411D5" w:rsidRDefault="006411D5" w:rsidP="006411D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411D5" w:rsidRPr="006411D5" w:rsidRDefault="006411D5" w:rsidP="006411D5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411D5">
        <w:rPr>
          <w:rFonts w:ascii="Arial" w:hAnsi="Arial" w:cs="Arial"/>
          <w:b/>
          <w:sz w:val="20"/>
          <w:szCs w:val="20"/>
        </w:rPr>
        <w:t>Reikalavimai RANGOVUI ir SUBRANGOVAMS:</w:t>
      </w:r>
    </w:p>
    <w:p w:rsidR="006411D5" w:rsidRDefault="004A33D3" w:rsidP="00CC56CA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Rangovas privalo pateikti per paskutinius 5</w:t>
      </w:r>
      <w:r w:rsidR="00901E0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C56CA">
        <w:rPr>
          <w:rFonts w:ascii="Arial" w:hAnsi="Arial" w:cs="Arial"/>
          <w:sz w:val="20"/>
          <w:szCs w:val="20"/>
        </w:rPr>
        <w:t>-</w:t>
      </w:r>
      <w:proofErr w:type="gramEnd"/>
      <w:r w:rsidR="00901E05">
        <w:rPr>
          <w:rFonts w:ascii="Arial" w:hAnsi="Arial" w:cs="Arial"/>
          <w:sz w:val="20"/>
          <w:szCs w:val="20"/>
        </w:rPr>
        <w:t xml:space="preserve"> </w:t>
      </w:r>
      <w:r w:rsidR="00CC56CA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met</w:t>
      </w:r>
      <w:r w:rsidR="00CC56CA">
        <w:rPr>
          <w:rFonts w:ascii="Arial" w:hAnsi="Arial" w:cs="Arial"/>
          <w:sz w:val="20"/>
          <w:szCs w:val="20"/>
        </w:rPr>
        <w:t>ų</w:t>
      </w:r>
      <w:r>
        <w:rPr>
          <w:rFonts w:ascii="Arial" w:hAnsi="Arial" w:cs="Arial"/>
          <w:sz w:val="20"/>
          <w:szCs w:val="20"/>
        </w:rPr>
        <w:t xml:space="preserve"> vykdytų analogiškos apimties projektų sąrašus, kuriuose jis dalyvavo kaip rangovas / subrangovas.</w:t>
      </w:r>
      <w:r w:rsidR="00CC56CA">
        <w:rPr>
          <w:rFonts w:ascii="Arial" w:hAnsi="Arial" w:cs="Arial"/>
          <w:sz w:val="20"/>
          <w:szCs w:val="20"/>
        </w:rPr>
        <w:t xml:space="preserve"> Sąraše turi būti pateikta ši informacija: įmonės/projekto pavadinimas, projekto/atliktų darbų santrauka nurodant sumontuotas sistemas ir įrangą, jų pajėgumą, elektros tiekimo sistemų įtampą, galia, energijos šaltinių tipą, pagrindinės įrangos gamintojus</w:t>
      </w:r>
      <w:r w:rsidR="00CC56CA" w:rsidRPr="00CC56CA">
        <w:rPr>
          <w:rFonts w:ascii="Arial" w:hAnsi="Arial" w:cs="Arial"/>
          <w:sz w:val="20"/>
          <w:szCs w:val="20"/>
        </w:rPr>
        <w:t xml:space="preserve">, </w:t>
      </w:r>
      <w:r w:rsidR="00CC56CA">
        <w:rPr>
          <w:rFonts w:ascii="Arial" w:hAnsi="Arial" w:cs="Arial"/>
          <w:sz w:val="20"/>
          <w:szCs w:val="20"/>
        </w:rPr>
        <w:t>projekto biudžetą, projektų užsakovų kontaktai, kuriais galima kreiptis dėl papildomos informacijos apie sumontuotas sistemas ir darbų kokybės.</w:t>
      </w:r>
    </w:p>
    <w:p w:rsidR="006411D5" w:rsidRDefault="004A33D3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Rangovas privalo pateikti dokumentus, suteikiančius teisę atlikti projektavimą pagal projektuojamos apimties darbus.</w:t>
      </w:r>
    </w:p>
    <w:p w:rsidR="004A33D3" w:rsidRDefault="004A33D3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Rangovas privalo pateikti dokumentus, suteikiančius teisę atlikti montavimą ir paleidimą / derinimą pagal projektuojamos apimties darbus.</w:t>
      </w:r>
    </w:p>
    <w:p w:rsidR="00BD30B7" w:rsidRPr="00BD30B7" w:rsidRDefault="00BD30B7" w:rsidP="00BD30B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BD30B7" w:rsidRPr="00BD30B7" w:rsidRDefault="00BD30B7" w:rsidP="00BD30B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30B7">
        <w:rPr>
          <w:rFonts w:ascii="Arial" w:hAnsi="Arial" w:cs="Arial"/>
          <w:b/>
          <w:sz w:val="20"/>
          <w:szCs w:val="20"/>
        </w:rPr>
        <w:t>Darbų grafikas</w:t>
      </w:r>
      <w:r w:rsidR="004B6FFB">
        <w:rPr>
          <w:rFonts w:ascii="Arial" w:hAnsi="Arial" w:cs="Arial"/>
          <w:b/>
          <w:sz w:val="20"/>
          <w:szCs w:val="20"/>
        </w:rPr>
        <w:t xml:space="preserve"> (pageidaujamas)</w:t>
      </w:r>
      <w:r w:rsidRPr="00BD30B7">
        <w:rPr>
          <w:rFonts w:ascii="Arial" w:hAnsi="Arial" w:cs="Arial"/>
          <w:b/>
          <w:sz w:val="20"/>
          <w:szCs w:val="20"/>
        </w:rPr>
        <w:t>:</w:t>
      </w:r>
    </w:p>
    <w:p w:rsidR="00BD30B7" w:rsidRDefault="00DC2412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Projektų paruošimas ir suderinimas</w:t>
      </w:r>
      <w:r w:rsidR="004B6FFB">
        <w:rPr>
          <w:rFonts w:ascii="Arial" w:hAnsi="Arial" w:cs="Arial"/>
          <w:sz w:val="20"/>
          <w:szCs w:val="20"/>
        </w:rPr>
        <w:t xml:space="preserve"> iki </w:t>
      </w:r>
      <w:r w:rsidR="008A10CB">
        <w:rPr>
          <w:rFonts w:ascii="Arial" w:hAnsi="Arial" w:cs="Arial"/>
          <w:sz w:val="20"/>
          <w:szCs w:val="20"/>
        </w:rPr>
        <w:t>2026 02 28</w:t>
      </w:r>
    </w:p>
    <w:p w:rsidR="00DC2412" w:rsidRDefault="00912C24" w:rsidP="004B6FF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DC2412">
        <w:rPr>
          <w:rFonts w:ascii="Arial" w:hAnsi="Arial" w:cs="Arial"/>
          <w:sz w:val="20"/>
          <w:szCs w:val="20"/>
        </w:rPr>
        <w:t>ontavimo/derinimo darbai doke</w:t>
      </w:r>
      <w:r w:rsidR="004B6FFB">
        <w:rPr>
          <w:rFonts w:ascii="Arial" w:hAnsi="Arial" w:cs="Arial"/>
          <w:sz w:val="20"/>
          <w:szCs w:val="20"/>
        </w:rPr>
        <w:t xml:space="preserve"> iki </w:t>
      </w:r>
      <w:r w:rsidR="008A10CB">
        <w:rPr>
          <w:rFonts w:ascii="Arial" w:hAnsi="Arial" w:cs="Arial"/>
          <w:sz w:val="20"/>
          <w:szCs w:val="20"/>
        </w:rPr>
        <w:t>2026 12 31</w:t>
      </w:r>
      <w:r w:rsidR="004B6FFB">
        <w:rPr>
          <w:rFonts w:ascii="Arial" w:hAnsi="Arial" w:cs="Arial"/>
          <w:sz w:val="20"/>
          <w:szCs w:val="20"/>
        </w:rPr>
        <w:t>.</w:t>
      </w:r>
    </w:p>
    <w:p w:rsidR="00901E05" w:rsidRPr="00BD30B7" w:rsidRDefault="00901E05" w:rsidP="00BD30B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BD30B7" w:rsidRPr="00BD30B7" w:rsidRDefault="00BD30B7" w:rsidP="00BD30B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30B7">
        <w:rPr>
          <w:rFonts w:ascii="Arial" w:hAnsi="Arial" w:cs="Arial"/>
          <w:b/>
          <w:sz w:val="20"/>
          <w:szCs w:val="20"/>
        </w:rPr>
        <w:t>Rangovas techninės dalies pasiūlymo įvertinimui privalo pateikti:</w:t>
      </w:r>
    </w:p>
    <w:p w:rsidR="00BD30B7" w:rsidRDefault="00BD30B7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Esamos situacijos analizę bei preliminarius darbų aprašymus.</w:t>
      </w:r>
    </w:p>
    <w:p w:rsidR="00BD30B7" w:rsidRDefault="00E86E61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Darbų vykdymo grafiką</w:t>
      </w:r>
      <w:r w:rsidR="000143FD">
        <w:rPr>
          <w:rFonts w:ascii="Arial" w:hAnsi="Arial" w:cs="Arial"/>
          <w:sz w:val="20"/>
          <w:szCs w:val="20"/>
        </w:rPr>
        <w:t xml:space="preserve"> – projektavimas ir darbai doke</w:t>
      </w:r>
      <w:r>
        <w:rPr>
          <w:rFonts w:ascii="Arial" w:hAnsi="Arial" w:cs="Arial"/>
          <w:sz w:val="20"/>
          <w:szCs w:val="20"/>
        </w:rPr>
        <w:t>.</w:t>
      </w:r>
    </w:p>
    <w:p w:rsidR="00E86E61" w:rsidRDefault="00E86E61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Siūlomos įrangos tipus ir techninius duomenis.</w:t>
      </w:r>
    </w:p>
    <w:p w:rsidR="007E1438" w:rsidRDefault="007E1438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Eskizines, struktūrines siūlomų sistemų schemas.</w:t>
      </w:r>
    </w:p>
    <w:p w:rsidR="000143FD" w:rsidRDefault="000143FD" w:rsidP="006F5B51">
      <w:pPr>
        <w:pStyle w:val="ListParagraph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86E61" w:rsidRPr="00E86E61" w:rsidRDefault="00E86E61" w:rsidP="00E86E61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86E61">
        <w:rPr>
          <w:rFonts w:ascii="Arial" w:hAnsi="Arial" w:cs="Arial"/>
          <w:b/>
          <w:sz w:val="20"/>
          <w:szCs w:val="20"/>
        </w:rPr>
        <w:t>Priedai:</w:t>
      </w:r>
    </w:p>
    <w:p w:rsidR="00E86E61" w:rsidRDefault="00912C24" w:rsidP="00BE190B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86E61">
        <w:rPr>
          <w:rFonts w:ascii="Arial" w:hAnsi="Arial" w:cs="Arial"/>
          <w:sz w:val="20"/>
          <w:szCs w:val="20"/>
        </w:rPr>
        <w:t>riedas</w:t>
      </w:r>
      <w:r>
        <w:rPr>
          <w:rFonts w:ascii="Arial" w:hAnsi="Arial" w:cs="Arial"/>
          <w:sz w:val="20"/>
          <w:szCs w:val="20"/>
        </w:rPr>
        <w:t xml:space="preserve"> Nr.1</w:t>
      </w:r>
      <w:r w:rsidR="00E86E6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– </w:t>
      </w:r>
      <w:r w:rsidR="00116C6D">
        <w:rPr>
          <w:rFonts w:ascii="Arial" w:hAnsi="Arial" w:cs="Arial"/>
          <w:sz w:val="20"/>
          <w:szCs w:val="20"/>
        </w:rPr>
        <w:t>T</w:t>
      </w:r>
      <w:r w:rsidR="00E86E61">
        <w:rPr>
          <w:rFonts w:ascii="Arial" w:hAnsi="Arial" w:cs="Arial"/>
          <w:sz w:val="20"/>
          <w:szCs w:val="20"/>
        </w:rPr>
        <w:t>elem</w:t>
      </w:r>
      <w:r w:rsidR="009E668F">
        <w:rPr>
          <w:rFonts w:ascii="Arial" w:hAnsi="Arial" w:cs="Arial"/>
          <w:sz w:val="20"/>
          <w:szCs w:val="20"/>
        </w:rPr>
        <w:t>e</w:t>
      </w:r>
      <w:r w:rsidR="00E86E61">
        <w:rPr>
          <w:rFonts w:ascii="Arial" w:hAnsi="Arial" w:cs="Arial"/>
          <w:sz w:val="20"/>
          <w:szCs w:val="20"/>
        </w:rPr>
        <w:t>trijos</w:t>
      </w:r>
      <w:r>
        <w:rPr>
          <w:rFonts w:ascii="Arial" w:hAnsi="Arial" w:cs="Arial"/>
          <w:sz w:val="20"/>
          <w:szCs w:val="20"/>
        </w:rPr>
        <w:t xml:space="preserve"> ir navigacijos</w:t>
      </w:r>
      <w:r w:rsidR="00E86E61">
        <w:rPr>
          <w:rFonts w:ascii="Arial" w:hAnsi="Arial" w:cs="Arial"/>
          <w:sz w:val="20"/>
          <w:szCs w:val="20"/>
        </w:rPr>
        <w:t xml:space="preserve"> sistemos techniniai reikalavimai.</w:t>
      </w:r>
    </w:p>
    <w:p w:rsidR="00116C6D" w:rsidRPr="00901E05" w:rsidRDefault="00912C24" w:rsidP="00901E05">
      <w:pPr>
        <w:pStyle w:val="ListParagraph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Priedas Nr.2. –</w:t>
      </w:r>
      <w:r w:rsidR="00E86E61" w:rsidRPr="00901E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91607">
        <w:rPr>
          <w:rFonts w:ascii="Arial" w:hAnsi="Arial" w:cs="Arial"/>
          <w:sz w:val="20"/>
          <w:szCs w:val="20"/>
        </w:rPr>
        <w:t>Elektos</w:t>
      </w:r>
      <w:proofErr w:type="spellEnd"/>
      <w:r w:rsidR="00691607">
        <w:rPr>
          <w:rFonts w:ascii="Arial" w:hAnsi="Arial" w:cs="Arial"/>
          <w:sz w:val="20"/>
          <w:szCs w:val="20"/>
        </w:rPr>
        <w:t xml:space="preserve"> tiekimo </w:t>
      </w:r>
      <w:r w:rsidR="00116C6D" w:rsidRPr="00901E05">
        <w:rPr>
          <w:rFonts w:ascii="Arial" w:hAnsi="Arial" w:cs="Arial"/>
          <w:sz w:val="20"/>
          <w:szCs w:val="20"/>
        </w:rPr>
        <w:t>sistemos techniniai reikalavimai</w:t>
      </w:r>
    </w:p>
    <w:p w:rsidR="00E86E61" w:rsidRDefault="00691607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86E61" w:rsidRPr="00116C6D">
        <w:rPr>
          <w:rFonts w:ascii="Arial" w:hAnsi="Arial" w:cs="Arial"/>
          <w:sz w:val="20"/>
          <w:szCs w:val="20"/>
        </w:rPr>
        <w:t>riedas</w:t>
      </w:r>
      <w:r>
        <w:rPr>
          <w:rFonts w:ascii="Arial" w:hAnsi="Arial" w:cs="Arial"/>
          <w:sz w:val="20"/>
          <w:szCs w:val="20"/>
        </w:rPr>
        <w:t xml:space="preserve"> Nr.3 –Automatikos dalies </w:t>
      </w:r>
      <w:r w:rsidRPr="00901E05">
        <w:rPr>
          <w:rFonts w:ascii="Arial" w:hAnsi="Arial" w:cs="Arial"/>
          <w:sz w:val="20"/>
          <w:szCs w:val="20"/>
        </w:rPr>
        <w:t>sistemos techniniai reikalavimai</w:t>
      </w:r>
    </w:p>
    <w:p w:rsidR="000143FD" w:rsidRPr="00116C6D" w:rsidRDefault="00691607">
      <w:pPr>
        <w:pStyle w:val="ListParagraph"/>
        <w:numPr>
          <w:ilvl w:val="1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Priedas Nr.4 – </w:t>
      </w:r>
      <w:r w:rsidR="000143FD">
        <w:rPr>
          <w:rFonts w:ascii="Arial" w:hAnsi="Arial" w:cs="Arial"/>
          <w:sz w:val="20"/>
          <w:szCs w:val="20"/>
        </w:rPr>
        <w:t xml:space="preserve">Plūduro </w:t>
      </w:r>
      <w:proofErr w:type="spellStart"/>
      <w:r w:rsidR="000143FD">
        <w:rPr>
          <w:rFonts w:ascii="Arial" w:hAnsi="Arial" w:cs="Arial"/>
          <w:sz w:val="20"/>
          <w:szCs w:val="20"/>
        </w:rPr>
        <w:t>sprogosauginių</w:t>
      </w:r>
      <w:proofErr w:type="spellEnd"/>
      <w:r w:rsidR="000143FD">
        <w:rPr>
          <w:rFonts w:ascii="Arial" w:hAnsi="Arial" w:cs="Arial"/>
          <w:sz w:val="20"/>
          <w:szCs w:val="20"/>
        </w:rPr>
        <w:t xml:space="preserve"> zonų brėžinys.</w:t>
      </w:r>
    </w:p>
    <w:p w:rsidR="00E86E61" w:rsidRDefault="00E86E61" w:rsidP="00E86E61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sz w:val="20"/>
          <w:szCs w:val="20"/>
        </w:rPr>
      </w:pPr>
    </w:p>
    <w:p w:rsidR="006D12B3" w:rsidRDefault="006D12B3" w:rsidP="00E86E61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sz w:val="20"/>
          <w:szCs w:val="20"/>
        </w:rPr>
      </w:pPr>
    </w:p>
    <w:p w:rsidR="006D12B3" w:rsidRPr="004B762F" w:rsidRDefault="006D12B3" w:rsidP="006D12B3">
      <w:pPr>
        <w:spacing w:after="0"/>
        <w:jc w:val="center"/>
        <w:rPr>
          <w:rFonts w:ascii="Arial" w:hAnsi="Arial" w:cs="Arial"/>
          <w:sz w:val="20"/>
          <w:szCs w:val="20"/>
        </w:rPr>
      </w:pPr>
    </w:p>
    <w:sectPr w:rsidR="006D12B3" w:rsidRPr="004B762F" w:rsidSect="000A269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BBA"/>
    <w:multiLevelType w:val="multilevel"/>
    <w:tmpl w:val="FEE2C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A046ADC"/>
    <w:multiLevelType w:val="hybridMultilevel"/>
    <w:tmpl w:val="23D64B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3E48"/>
    <w:multiLevelType w:val="hybridMultilevel"/>
    <w:tmpl w:val="22AC7B4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1732"/>
    <w:multiLevelType w:val="hybridMultilevel"/>
    <w:tmpl w:val="07DA8C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6379"/>
    <w:multiLevelType w:val="hybridMultilevel"/>
    <w:tmpl w:val="C958F20A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3D60CC"/>
    <w:multiLevelType w:val="multilevel"/>
    <w:tmpl w:val="CF708A10"/>
    <w:styleLink w:val="Style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6" w15:restartNumberingAfterBreak="0">
    <w:nsid w:val="3362731E"/>
    <w:multiLevelType w:val="multilevel"/>
    <w:tmpl w:val="36F854A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622128A"/>
    <w:multiLevelType w:val="multilevel"/>
    <w:tmpl w:val="F6A47948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9624262"/>
    <w:multiLevelType w:val="hybridMultilevel"/>
    <w:tmpl w:val="F982ADAE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936243"/>
    <w:multiLevelType w:val="multilevel"/>
    <w:tmpl w:val="CF708A10"/>
    <w:numStyleLink w:val="Style1"/>
  </w:abstractNum>
  <w:abstractNum w:abstractNumId="10" w15:restartNumberingAfterBreak="0">
    <w:nsid w:val="5F9534F5"/>
    <w:multiLevelType w:val="multilevel"/>
    <w:tmpl w:val="02CEEA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E512BB"/>
    <w:multiLevelType w:val="multilevel"/>
    <w:tmpl w:val="D65074DC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312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91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00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926" w:hanging="792"/>
      </w:pPr>
    </w:lvl>
    <w:lvl w:ilvl="5">
      <w:start w:val="1"/>
      <w:numFmt w:val="decimal"/>
      <w:lvlText w:val="%1.%2.%3.%4.%5.%6."/>
      <w:lvlJc w:val="left"/>
      <w:pPr>
        <w:ind w:left="5430" w:hanging="936"/>
      </w:pPr>
    </w:lvl>
    <w:lvl w:ilvl="6">
      <w:start w:val="1"/>
      <w:numFmt w:val="decimal"/>
      <w:lvlText w:val="%1.%2.%3.%4.%5.%6.%7."/>
      <w:lvlJc w:val="left"/>
      <w:pPr>
        <w:ind w:left="5934" w:hanging="1080"/>
      </w:pPr>
    </w:lvl>
    <w:lvl w:ilvl="7">
      <w:start w:val="1"/>
      <w:numFmt w:val="decimal"/>
      <w:lvlText w:val="%1.%2.%3.%4.%5.%6.%7.%8."/>
      <w:lvlJc w:val="left"/>
      <w:pPr>
        <w:ind w:left="6438" w:hanging="1224"/>
      </w:pPr>
    </w:lvl>
    <w:lvl w:ilvl="8">
      <w:start w:val="1"/>
      <w:numFmt w:val="decimal"/>
      <w:lvlText w:val="%1.%2.%3.%4.%5.%6.%7.%8.%9."/>
      <w:lvlJc w:val="left"/>
      <w:pPr>
        <w:ind w:left="7014" w:hanging="1440"/>
      </w:pPr>
    </w:lvl>
  </w:abstractNum>
  <w:abstractNum w:abstractNumId="12" w15:restartNumberingAfterBreak="0">
    <w:nsid w:val="74C62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76B26AC"/>
    <w:multiLevelType w:val="hybridMultilevel"/>
    <w:tmpl w:val="953ED658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DF2742D"/>
    <w:multiLevelType w:val="multilevel"/>
    <w:tmpl w:val="FEE2C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12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21" w:hanging="624"/>
        </w:pPr>
        <w:rPr>
          <w:rFonts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ind w:left="3054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126" w:hanging="432"/>
        </w:pPr>
        <w:rPr>
          <w:rFonts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3.%2.%3."/>
        <w:lvlJc w:val="left"/>
        <w:pPr>
          <w:ind w:left="3918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22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926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430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93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438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014" w:hanging="1440"/>
        </w:pPr>
        <w:rPr>
          <w:rFonts w:hint="default"/>
        </w:rPr>
      </w:lvl>
    </w:lvlOverride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059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B2"/>
    <w:rsid w:val="000143FD"/>
    <w:rsid w:val="00077374"/>
    <w:rsid w:val="000A269F"/>
    <w:rsid w:val="000B594D"/>
    <w:rsid w:val="000E3972"/>
    <w:rsid w:val="00116C6D"/>
    <w:rsid w:val="0013246E"/>
    <w:rsid w:val="00190B53"/>
    <w:rsid w:val="001C275E"/>
    <w:rsid w:val="001F4D92"/>
    <w:rsid w:val="00222920"/>
    <w:rsid w:val="00226884"/>
    <w:rsid w:val="002B4E39"/>
    <w:rsid w:val="002B6C38"/>
    <w:rsid w:val="003E2F8E"/>
    <w:rsid w:val="003E6113"/>
    <w:rsid w:val="0043689C"/>
    <w:rsid w:val="0045700C"/>
    <w:rsid w:val="004A0513"/>
    <w:rsid w:val="004A33D3"/>
    <w:rsid w:val="004B6FFB"/>
    <w:rsid w:val="004B762F"/>
    <w:rsid w:val="00595D2B"/>
    <w:rsid w:val="00612654"/>
    <w:rsid w:val="00623FB7"/>
    <w:rsid w:val="006411D5"/>
    <w:rsid w:val="00664DE7"/>
    <w:rsid w:val="0067716E"/>
    <w:rsid w:val="00691607"/>
    <w:rsid w:val="006D12B3"/>
    <w:rsid w:val="006E3A2E"/>
    <w:rsid w:val="006F5B51"/>
    <w:rsid w:val="007055EE"/>
    <w:rsid w:val="00782B8E"/>
    <w:rsid w:val="007C0C0E"/>
    <w:rsid w:val="007E1438"/>
    <w:rsid w:val="00857FA7"/>
    <w:rsid w:val="00883C26"/>
    <w:rsid w:val="0088634B"/>
    <w:rsid w:val="008A10CB"/>
    <w:rsid w:val="00901E05"/>
    <w:rsid w:val="00912C24"/>
    <w:rsid w:val="00925202"/>
    <w:rsid w:val="0098757E"/>
    <w:rsid w:val="009E668F"/>
    <w:rsid w:val="009F4DB2"/>
    <w:rsid w:val="00A01958"/>
    <w:rsid w:val="00A45C1D"/>
    <w:rsid w:val="00A9742E"/>
    <w:rsid w:val="00AB3AED"/>
    <w:rsid w:val="00BD30B7"/>
    <w:rsid w:val="00BE190B"/>
    <w:rsid w:val="00BE6B84"/>
    <w:rsid w:val="00C90A5E"/>
    <w:rsid w:val="00CC56CA"/>
    <w:rsid w:val="00D04812"/>
    <w:rsid w:val="00D2427A"/>
    <w:rsid w:val="00D66657"/>
    <w:rsid w:val="00DA5D48"/>
    <w:rsid w:val="00DC2412"/>
    <w:rsid w:val="00DF28C3"/>
    <w:rsid w:val="00E21090"/>
    <w:rsid w:val="00E86E61"/>
    <w:rsid w:val="00F06B35"/>
    <w:rsid w:val="00F1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E7B3"/>
  <w15:docId w15:val="{26572C79-2CAF-4912-9A8D-D8E3FCE6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C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7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4B762F"/>
    <w:pPr>
      <w:numPr>
        <w:numId w:val="13"/>
      </w:numPr>
    </w:pPr>
  </w:style>
  <w:style w:type="paragraph" w:styleId="BodyTextIndent">
    <w:name w:val="Body Text Indent"/>
    <w:basedOn w:val="Normal"/>
    <w:link w:val="BodyTextIndentChar"/>
    <w:rsid w:val="004B762F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B762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63763-4777-41D0-A13D-0F3D4E54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3708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Povilavičius</dc:creator>
  <cp:keywords/>
  <dc:description/>
  <cp:lastModifiedBy>Egidijus Milis</cp:lastModifiedBy>
  <cp:revision>53</cp:revision>
  <cp:lastPrinted>2019-05-13T07:18:00Z</cp:lastPrinted>
  <dcterms:created xsi:type="dcterms:W3CDTF">2019-04-26T07:25:00Z</dcterms:created>
  <dcterms:modified xsi:type="dcterms:W3CDTF">2025-05-12T13:40:00Z</dcterms:modified>
</cp:coreProperties>
</file>