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5A61" w:rsidRPr="00165A61" w:rsidRDefault="00165A61" w:rsidP="00165A61">
      <w:pPr>
        <w:spacing w:after="0" w:line="240" w:lineRule="auto"/>
        <w:jc w:val="center"/>
        <w:rPr>
          <w:rFonts w:ascii="Times New Roman" w:eastAsia="Times New Roman" w:hAnsi="Times New Roman" w:cs="Times New Roman"/>
          <w:b/>
        </w:rPr>
      </w:pPr>
      <w:r>
        <w:rPr>
          <w:rFonts w:ascii="Times New Roman" w:hAnsi="Times New Roman"/>
          <w:b/>
        </w:rPr>
        <w:t>TENDER</w:t>
      </w:r>
    </w:p>
    <w:p w:rsidR="00165A61" w:rsidRPr="008670BD" w:rsidRDefault="00165A61" w:rsidP="00165A61">
      <w:pPr>
        <w:widowControl w:val="0"/>
        <w:suppressAutoHyphens/>
        <w:spacing w:after="0" w:line="240" w:lineRule="auto"/>
        <w:rPr>
          <w:rFonts w:ascii="Times New Roman" w:eastAsia="Lucida Sans Unicode" w:hAnsi="Times New Roman" w:cs="Times New Roman"/>
          <w:b/>
          <w:noProof/>
          <w:kern w:val="1"/>
          <w:lang w:eastAsia="ar-SA"/>
        </w:rPr>
      </w:pPr>
    </w:p>
    <w:p w:rsidR="00D17877" w:rsidRPr="008670BD" w:rsidRDefault="003428A9" w:rsidP="00984DB2">
      <w:pPr>
        <w:widowControl w:val="0"/>
        <w:suppressAutoHyphens/>
        <w:spacing w:after="0" w:line="240" w:lineRule="auto"/>
        <w:jc w:val="center"/>
        <w:rPr>
          <w:rFonts w:ascii="Times New Roman" w:eastAsia="Lucida Sans Unicode" w:hAnsi="Times New Roman" w:cs="Times New Roman"/>
          <w:b/>
          <w:noProof/>
          <w:kern w:val="1"/>
        </w:rPr>
      </w:pPr>
      <w:r>
        <w:rPr>
          <w:rFonts w:ascii="Times New Roman" w:hAnsi="Times New Roman"/>
          <w:b/>
        </w:rPr>
        <w:t>LIST OF PRICED ACTIVITIES FOR THE PREPARATION OF THE RENOVATION/MODERNIZATION PROJECT OF THE MEDICAL POINT BUILDING WITH GARAGE</w:t>
      </w:r>
    </w:p>
    <w:p w:rsidR="00984DB2" w:rsidRPr="008670BD" w:rsidRDefault="00984DB2" w:rsidP="00984DB2">
      <w:pPr>
        <w:widowControl w:val="0"/>
        <w:suppressAutoHyphens/>
        <w:spacing w:after="0" w:line="240" w:lineRule="auto"/>
        <w:jc w:val="center"/>
        <w:rPr>
          <w:rFonts w:ascii="Times New Roman" w:eastAsia="Lucida Sans Unicode" w:hAnsi="Times New Roman" w:cs="Times New Roman"/>
          <w:b/>
          <w:noProof/>
          <w:kern w:val="1"/>
          <w:lang w:eastAsia="ar-SA"/>
        </w:rPr>
      </w:pPr>
    </w:p>
    <w:p w:rsidR="008A6F80" w:rsidRPr="008670BD" w:rsidRDefault="00D17877" w:rsidP="00D17877">
      <w:pPr>
        <w:widowControl w:val="0"/>
        <w:suppressAutoHyphens/>
        <w:spacing w:after="0" w:line="240" w:lineRule="auto"/>
        <w:rPr>
          <w:rFonts w:ascii="Times New Roman" w:eastAsia="Lucida Sans Unicode" w:hAnsi="Times New Roman" w:cs="Times New Roman"/>
          <w:b/>
          <w:noProof/>
          <w:kern w:val="1"/>
        </w:rPr>
      </w:pPr>
      <w:r>
        <w:rPr>
          <w:rFonts w:ascii="Times New Roman" w:hAnsi="Times New Roman"/>
          <w:b/>
        </w:rPr>
        <w:t xml:space="preserve">Price of services in Phase I (first): </w:t>
      </w:r>
    </w:p>
    <w:tbl>
      <w:tblPr>
        <w:tblStyle w:val="TableGrid"/>
        <w:tblW w:w="15168" w:type="dxa"/>
        <w:tblInd w:w="-5" w:type="dxa"/>
        <w:tblLook w:val="04A0" w:firstRow="1" w:lastRow="0" w:firstColumn="1" w:lastColumn="0" w:noHBand="0" w:noVBand="1"/>
      </w:tblPr>
      <w:tblGrid>
        <w:gridCol w:w="697"/>
        <w:gridCol w:w="1287"/>
        <w:gridCol w:w="5662"/>
        <w:gridCol w:w="1139"/>
        <w:gridCol w:w="1138"/>
        <w:gridCol w:w="1843"/>
        <w:gridCol w:w="1418"/>
        <w:gridCol w:w="1984"/>
      </w:tblGrid>
      <w:tr w:rsidR="00E77E81" w:rsidRPr="008670BD" w:rsidTr="00E77E81">
        <w:tc>
          <w:tcPr>
            <w:tcW w:w="697" w:type="dxa"/>
            <w:shd w:val="clear" w:color="auto" w:fill="BDD6EE" w:themeFill="accent1" w:themeFillTint="66"/>
            <w:vAlign w:val="center"/>
          </w:tcPr>
          <w:p w:rsidR="00E77E81" w:rsidRPr="008670BD" w:rsidRDefault="00E77E81" w:rsidP="00DC7DAB">
            <w:pPr>
              <w:jc w:val="center"/>
              <w:rPr>
                <w:rFonts w:ascii="Times New Roman" w:hAnsi="Times New Roman" w:cs="Times New Roman"/>
                <w:b/>
              </w:rPr>
            </w:pPr>
            <w:r>
              <w:rPr>
                <w:rFonts w:ascii="Times New Roman" w:hAnsi="Times New Roman"/>
                <w:b/>
              </w:rPr>
              <w:t xml:space="preserve">Row </w:t>
            </w:r>
          </w:p>
          <w:p w:rsidR="00E77E81" w:rsidRPr="008670BD" w:rsidRDefault="00E77E81" w:rsidP="00DC7DAB">
            <w:pPr>
              <w:jc w:val="center"/>
              <w:rPr>
                <w:rFonts w:ascii="Times New Roman" w:hAnsi="Times New Roman" w:cs="Times New Roman"/>
                <w:b/>
              </w:rPr>
            </w:pPr>
            <w:r>
              <w:rPr>
                <w:rFonts w:ascii="Times New Roman" w:hAnsi="Times New Roman"/>
                <w:b/>
              </w:rPr>
              <w:t>No</w:t>
            </w:r>
          </w:p>
        </w:tc>
        <w:tc>
          <w:tcPr>
            <w:tcW w:w="6949" w:type="dxa"/>
            <w:gridSpan w:val="2"/>
            <w:shd w:val="clear" w:color="auto" w:fill="BDD6EE" w:themeFill="accent1" w:themeFillTint="66"/>
            <w:vAlign w:val="center"/>
          </w:tcPr>
          <w:p w:rsidR="00E77E81" w:rsidRPr="008670BD" w:rsidRDefault="00E77E81" w:rsidP="00DC7DAB">
            <w:pPr>
              <w:jc w:val="center"/>
              <w:rPr>
                <w:rFonts w:ascii="Times New Roman" w:hAnsi="Times New Roman" w:cs="Times New Roman"/>
                <w:b/>
              </w:rPr>
            </w:pPr>
            <w:r>
              <w:rPr>
                <w:rFonts w:ascii="Times New Roman" w:hAnsi="Times New Roman"/>
                <w:b/>
              </w:rPr>
              <w:t>Service</w:t>
            </w:r>
          </w:p>
        </w:tc>
        <w:tc>
          <w:tcPr>
            <w:tcW w:w="1139" w:type="dxa"/>
            <w:shd w:val="clear" w:color="auto" w:fill="BDD6EE" w:themeFill="accent1" w:themeFillTint="66"/>
            <w:vAlign w:val="center"/>
          </w:tcPr>
          <w:p w:rsidR="00E77E81" w:rsidRPr="008670BD" w:rsidRDefault="00E77E81" w:rsidP="00DC7DAB">
            <w:pPr>
              <w:jc w:val="center"/>
              <w:rPr>
                <w:rFonts w:ascii="Times New Roman" w:hAnsi="Times New Roman" w:cs="Times New Roman"/>
                <w:b/>
              </w:rPr>
            </w:pPr>
            <w:r>
              <w:rPr>
                <w:rFonts w:ascii="Times New Roman" w:hAnsi="Times New Roman"/>
                <w:b/>
              </w:rPr>
              <w:t xml:space="preserve">Total scope of </w:t>
            </w:r>
          </w:p>
          <w:p w:rsidR="00E77E81" w:rsidRPr="008670BD" w:rsidRDefault="00E77E81" w:rsidP="00DC7DAB">
            <w:pPr>
              <w:jc w:val="center"/>
              <w:rPr>
                <w:rFonts w:ascii="Times New Roman" w:hAnsi="Times New Roman" w:cs="Times New Roman"/>
                <w:b/>
              </w:rPr>
            </w:pPr>
            <w:r>
              <w:rPr>
                <w:rFonts w:ascii="Times New Roman" w:hAnsi="Times New Roman"/>
                <w:b/>
              </w:rPr>
              <w:t>services</w:t>
            </w:r>
          </w:p>
        </w:tc>
        <w:tc>
          <w:tcPr>
            <w:tcW w:w="1138" w:type="dxa"/>
            <w:shd w:val="clear" w:color="auto" w:fill="BDD6EE" w:themeFill="accent1" w:themeFillTint="66"/>
          </w:tcPr>
          <w:p w:rsidR="00E77E81" w:rsidRDefault="00E77E81" w:rsidP="00E77E81">
            <w:pPr>
              <w:spacing w:before="120" w:line="257" w:lineRule="auto"/>
              <w:jc w:val="center"/>
              <w:rPr>
                <w:rFonts w:ascii="Times New Roman" w:hAnsi="Times New Roman"/>
                <w:b/>
              </w:rPr>
            </w:pPr>
            <w:r w:rsidRPr="00E77E81">
              <w:rPr>
                <w:rFonts w:ascii="Times New Roman" w:hAnsi="Times New Roman"/>
                <w:b/>
              </w:rPr>
              <w:t>Number of hours</w:t>
            </w:r>
          </w:p>
        </w:tc>
        <w:tc>
          <w:tcPr>
            <w:tcW w:w="1843" w:type="dxa"/>
            <w:shd w:val="clear" w:color="auto" w:fill="BDD6EE" w:themeFill="accent1" w:themeFillTint="66"/>
            <w:vAlign w:val="center"/>
          </w:tcPr>
          <w:p w:rsidR="00E77E81" w:rsidRPr="00D04C7E" w:rsidRDefault="00E77E81" w:rsidP="00DC7DAB">
            <w:pPr>
              <w:spacing w:line="256" w:lineRule="auto"/>
              <w:jc w:val="center"/>
              <w:rPr>
                <w:rFonts w:ascii="Times New Roman" w:hAnsi="Times New Roman" w:cs="Times New Roman"/>
                <w:b/>
              </w:rPr>
            </w:pPr>
            <w:r>
              <w:rPr>
                <w:rFonts w:ascii="Times New Roman" w:hAnsi="Times New Roman"/>
                <w:b/>
              </w:rPr>
              <w:t xml:space="preserve">Price of services, </w:t>
            </w:r>
          </w:p>
          <w:p w:rsidR="00E77E81" w:rsidRPr="008670BD" w:rsidRDefault="00E77E81" w:rsidP="00DC7DAB">
            <w:pPr>
              <w:jc w:val="center"/>
              <w:rPr>
                <w:rFonts w:ascii="Times New Roman" w:hAnsi="Times New Roman" w:cs="Times New Roman"/>
                <w:b/>
                <w:highlight w:val="yellow"/>
              </w:rPr>
            </w:pPr>
            <w:r>
              <w:rPr>
                <w:rFonts w:ascii="Times New Roman" w:hAnsi="Times New Roman"/>
                <w:b/>
              </w:rPr>
              <w:t>EUR excl. VAT</w:t>
            </w:r>
          </w:p>
        </w:tc>
        <w:tc>
          <w:tcPr>
            <w:tcW w:w="1418" w:type="dxa"/>
            <w:shd w:val="clear" w:color="auto" w:fill="BDD6EE" w:themeFill="accent1" w:themeFillTint="66"/>
            <w:vAlign w:val="center"/>
          </w:tcPr>
          <w:p w:rsidR="00E77E81" w:rsidRDefault="00E77E81" w:rsidP="00DC7DAB">
            <w:pPr>
              <w:jc w:val="center"/>
              <w:rPr>
                <w:rFonts w:ascii="Times New Roman" w:hAnsi="Times New Roman" w:cs="Times New Roman"/>
                <w:b/>
              </w:rPr>
            </w:pPr>
            <w:r>
              <w:rPr>
                <w:rFonts w:ascii="Times New Roman" w:hAnsi="Times New Roman"/>
                <w:b/>
              </w:rPr>
              <w:t>VAT 21%,</w:t>
            </w:r>
          </w:p>
          <w:p w:rsidR="00E77E81" w:rsidRPr="008670BD" w:rsidRDefault="00E77E81" w:rsidP="00DC7DAB">
            <w:pPr>
              <w:jc w:val="center"/>
              <w:rPr>
                <w:rFonts w:ascii="Times New Roman" w:hAnsi="Times New Roman" w:cs="Times New Roman"/>
                <w:b/>
                <w:highlight w:val="yellow"/>
              </w:rPr>
            </w:pPr>
            <w:r>
              <w:rPr>
                <w:rFonts w:ascii="Times New Roman" w:hAnsi="Times New Roman"/>
                <w:b/>
              </w:rPr>
              <w:t>EUR</w:t>
            </w:r>
          </w:p>
        </w:tc>
        <w:tc>
          <w:tcPr>
            <w:tcW w:w="1984" w:type="dxa"/>
            <w:shd w:val="clear" w:color="auto" w:fill="BDD6EE" w:themeFill="accent1" w:themeFillTint="66"/>
            <w:vAlign w:val="center"/>
          </w:tcPr>
          <w:p w:rsidR="00E77E81" w:rsidRPr="008670BD" w:rsidRDefault="00E77E81" w:rsidP="00DC7DAB">
            <w:pPr>
              <w:jc w:val="center"/>
              <w:rPr>
                <w:rFonts w:ascii="Times New Roman" w:hAnsi="Times New Roman" w:cs="Times New Roman"/>
                <w:b/>
              </w:rPr>
            </w:pPr>
            <w:r>
              <w:rPr>
                <w:rFonts w:ascii="Times New Roman" w:hAnsi="Times New Roman"/>
                <w:b/>
              </w:rPr>
              <w:t>Price of services, EUR incl. VAT</w:t>
            </w: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1.</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Preparation of project tenders</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2.</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Preparation of engineering design project</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2.1.</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General</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2.2.</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Site arrangement (site plan)</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2.3</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Architectural</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2.4.</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Structural</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bookmarkStart w:id="0" w:name="_GoBack"/>
            <w:bookmarkEnd w:id="0"/>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2.5.</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Water supply and sewage disposal</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2.6.</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Heating, ventilation and air conditioning</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2.7.</w:t>
            </w:r>
          </w:p>
        </w:tc>
        <w:tc>
          <w:tcPr>
            <w:tcW w:w="6949" w:type="dxa"/>
            <w:gridSpan w:val="2"/>
          </w:tcPr>
          <w:p w:rsidR="00E77E81" w:rsidRPr="008670BD" w:rsidRDefault="00E77E81" w:rsidP="00DC7DAB">
            <w:pPr>
              <w:rPr>
                <w:rFonts w:ascii="Times New Roman" w:hAnsi="Times New Roman" w:cs="Times New Roman"/>
              </w:rPr>
            </w:pPr>
            <w:proofErr w:type="spellStart"/>
            <w:r>
              <w:rPr>
                <w:rFonts w:ascii="Times New Roman" w:hAnsi="Times New Roman"/>
              </w:rPr>
              <w:t>Electrotechnical</w:t>
            </w:r>
            <w:proofErr w:type="spellEnd"/>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2.8.</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Electronic communications (telecommunications)</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2.9.</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Security alarm</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2.10.</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Fire detection and fire alarm</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2.11</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Process control and automation</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2.12.</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Preparation for construction and organisation of construction work</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2.13.</w:t>
            </w:r>
          </w:p>
        </w:tc>
        <w:tc>
          <w:tcPr>
            <w:tcW w:w="6949" w:type="dxa"/>
            <w:gridSpan w:val="2"/>
          </w:tcPr>
          <w:p w:rsidR="00E77E81" w:rsidRPr="008670BD" w:rsidRDefault="00E77E81" w:rsidP="00DC7DAB">
            <w:pPr>
              <w:rPr>
                <w:rFonts w:ascii="Times New Roman" w:hAnsi="Times New Roman" w:cs="Times New Roman"/>
              </w:rPr>
            </w:pPr>
            <w:r>
              <w:rPr>
                <w:rFonts w:ascii="Times New Roman" w:hAnsi="Times New Roman"/>
              </w:rPr>
              <w:t>Determining the estimated cost of construction</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2.14.</w:t>
            </w:r>
          </w:p>
        </w:tc>
        <w:tc>
          <w:tcPr>
            <w:tcW w:w="6949" w:type="dxa"/>
            <w:gridSpan w:val="2"/>
          </w:tcPr>
          <w:p w:rsidR="00E77E81" w:rsidRPr="008670BD" w:rsidRDefault="00E77E81" w:rsidP="00DC7DAB">
            <w:pPr>
              <w:spacing w:line="257" w:lineRule="auto"/>
              <w:rPr>
                <w:rFonts w:ascii="Times New Roman" w:hAnsi="Times New Roman" w:cs="Times New Roman"/>
              </w:rPr>
            </w:pPr>
            <w:r>
              <w:rPr>
                <w:rFonts w:ascii="Times New Roman" w:hAnsi="Times New Roman"/>
              </w:rPr>
              <w:t>Other parts of the project necessary to achieve the objectives set out in the Terms of Reference and to carry out the contract works properly (as required)</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r>
              <w:rPr>
                <w:rFonts w:ascii="Times New Roman" w:hAnsi="Times New Roman"/>
              </w:rPr>
              <w:t>3.</w:t>
            </w:r>
          </w:p>
        </w:tc>
        <w:tc>
          <w:tcPr>
            <w:tcW w:w="6949" w:type="dxa"/>
            <w:gridSpan w:val="2"/>
          </w:tcPr>
          <w:p w:rsidR="00E77E81" w:rsidRPr="008670BD" w:rsidRDefault="00E77E81" w:rsidP="00DC7DAB">
            <w:pPr>
              <w:spacing w:line="257" w:lineRule="auto"/>
              <w:rPr>
                <w:rFonts w:ascii="Times New Roman" w:hAnsi="Times New Roman" w:cs="Times New Roman"/>
                <w:color w:val="000000"/>
              </w:rPr>
            </w:pPr>
            <w:r>
              <w:rPr>
                <w:rFonts w:ascii="Times New Roman" w:hAnsi="Times New Roman"/>
                <w:color w:val="000000"/>
              </w:rPr>
              <w:t>Preparation of the change-of-use project for the building (room, premises) or engineering structure *</w:t>
            </w:r>
          </w:p>
        </w:tc>
        <w:tc>
          <w:tcPr>
            <w:tcW w:w="1139" w:type="dxa"/>
            <w:vAlign w:val="center"/>
          </w:tcPr>
          <w:p w:rsidR="00E77E81" w:rsidRPr="008670BD" w:rsidRDefault="00E77E81" w:rsidP="00DC7DAB">
            <w:pPr>
              <w:jc w:val="center"/>
              <w:rPr>
                <w:rFonts w:ascii="Times New Roman" w:hAnsi="Times New Roman" w:cs="Times New Roman"/>
              </w:rPr>
            </w:pPr>
            <w:r>
              <w:rPr>
                <w:rFonts w:ascii="Times New Roman" w:hAnsi="Times New Roman"/>
              </w:rPr>
              <w:t>set</w:t>
            </w: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p>
        </w:tc>
        <w:tc>
          <w:tcPr>
            <w:tcW w:w="6949" w:type="dxa"/>
            <w:gridSpan w:val="2"/>
          </w:tcPr>
          <w:p w:rsidR="00E77E81" w:rsidRPr="008670BD" w:rsidRDefault="00E77E81" w:rsidP="00DC7DAB">
            <w:pPr>
              <w:spacing w:line="257" w:lineRule="auto"/>
              <w:rPr>
                <w:rFonts w:ascii="Times New Roman" w:hAnsi="Times New Roman" w:cs="Times New Roman"/>
                <w:color w:val="000000"/>
              </w:rPr>
            </w:pPr>
          </w:p>
        </w:tc>
        <w:tc>
          <w:tcPr>
            <w:tcW w:w="1139" w:type="dxa"/>
            <w:vAlign w:val="center"/>
          </w:tcPr>
          <w:p w:rsidR="00E77E81" w:rsidRPr="008670BD" w:rsidRDefault="00E77E81" w:rsidP="00DC7DAB">
            <w:pPr>
              <w:jc w:val="center"/>
              <w:rPr>
                <w:rFonts w:ascii="Times New Roman" w:hAnsi="Times New Roman" w:cs="Times New Roman"/>
              </w:rPr>
            </w:pP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RPr="008670BD" w:rsidTr="00E77E81">
        <w:tc>
          <w:tcPr>
            <w:tcW w:w="697" w:type="dxa"/>
          </w:tcPr>
          <w:p w:rsidR="00E77E81" w:rsidRPr="008670BD" w:rsidRDefault="00E77E81" w:rsidP="00DC7DAB">
            <w:pPr>
              <w:jc w:val="center"/>
              <w:rPr>
                <w:rFonts w:ascii="Times New Roman" w:hAnsi="Times New Roman" w:cs="Times New Roman"/>
              </w:rPr>
            </w:pPr>
          </w:p>
        </w:tc>
        <w:tc>
          <w:tcPr>
            <w:tcW w:w="6949" w:type="dxa"/>
            <w:gridSpan w:val="2"/>
          </w:tcPr>
          <w:p w:rsidR="00E77E81" w:rsidRPr="00DC7DAB" w:rsidRDefault="00E77E81" w:rsidP="00DC7DAB">
            <w:pPr>
              <w:spacing w:line="257" w:lineRule="auto"/>
              <w:jc w:val="right"/>
              <w:rPr>
                <w:rFonts w:ascii="Times New Roman" w:hAnsi="Times New Roman" w:cs="Times New Roman"/>
                <w:b/>
                <w:color w:val="000000"/>
              </w:rPr>
            </w:pPr>
            <w:r>
              <w:rPr>
                <w:rFonts w:ascii="Times New Roman" w:hAnsi="Times New Roman"/>
                <w:b/>
                <w:color w:val="000000"/>
              </w:rPr>
              <w:t>Total price of the tender</w:t>
            </w:r>
          </w:p>
        </w:tc>
        <w:tc>
          <w:tcPr>
            <w:tcW w:w="1139" w:type="dxa"/>
            <w:tcBorders>
              <w:bottom w:val="single" w:sz="4" w:space="0" w:color="auto"/>
            </w:tcBorders>
            <w:vAlign w:val="center"/>
          </w:tcPr>
          <w:p w:rsidR="00E77E81" w:rsidRPr="008670BD" w:rsidRDefault="00E77E81" w:rsidP="00DC7DAB">
            <w:pPr>
              <w:jc w:val="center"/>
              <w:rPr>
                <w:rFonts w:ascii="Times New Roman" w:hAnsi="Times New Roman" w:cs="Times New Roman"/>
              </w:rPr>
            </w:pPr>
          </w:p>
        </w:tc>
        <w:tc>
          <w:tcPr>
            <w:tcW w:w="1138" w:type="dxa"/>
          </w:tcPr>
          <w:p w:rsidR="00E77E81" w:rsidRPr="008670BD" w:rsidRDefault="00E77E81" w:rsidP="00DC7DAB">
            <w:pPr>
              <w:rPr>
                <w:rFonts w:ascii="Times New Roman" w:hAnsi="Times New Roman" w:cs="Times New Roman"/>
              </w:rPr>
            </w:pPr>
          </w:p>
        </w:tc>
        <w:tc>
          <w:tcPr>
            <w:tcW w:w="1843" w:type="dxa"/>
          </w:tcPr>
          <w:p w:rsidR="00E77E81" w:rsidRPr="008670BD" w:rsidRDefault="00E77E81" w:rsidP="00DC7DAB">
            <w:pPr>
              <w:rPr>
                <w:rFonts w:ascii="Times New Roman" w:hAnsi="Times New Roman" w:cs="Times New Roman"/>
              </w:rPr>
            </w:pPr>
          </w:p>
        </w:tc>
        <w:tc>
          <w:tcPr>
            <w:tcW w:w="1418" w:type="dxa"/>
          </w:tcPr>
          <w:p w:rsidR="00E77E81" w:rsidRPr="008670BD" w:rsidRDefault="00E77E81" w:rsidP="00DC7DAB">
            <w:pPr>
              <w:rPr>
                <w:rFonts w:ascii="Times New Roman" w:hAnsi="Times New Roman" w:cs="Times New Roman"/>
              </w:rPr>
            </w:pPr>
          </w:p>
        </w:tc>
        <w:tc>
          <w:tcPr>
            <w:tcW w:w="1984" w:type="dxa"/>
          </w:tcPr>
          <w:p w:rsidR="00E77E81" w:rsidRPr="008670BD" w:rsidRDefault="00E77E81" w:rsidP="00DC7DAB">
            <w:pPr>
              <w:rPr>
                <w:rFonts w:ascii="Times New Roman" w:hAnsi="Times New Roman" w:cs="Times New Roman"/>
              </w:rPr>
            </w:pPr>
          </w:p>
        </w:tc>
      </w:tr>
      <w:tr w:rsidR="00E77E81" w:rsidTr="00E77E81">
        <w:tblPrEx>
          <w:tblLook w:val="0000" w:firstRow="0" w:lastRow="0" w:firstColumn="0" w:lastColumn="0" w:noHBand="0" w:noVBand="0"/>
        </w:tblPrEx>
        <w:trPr>
          <w:trHeight w:val="270"/>
        </w:trPr>
        <w:tc>
          <w:tcPr>
            <w:tcW w:w="1984" w:type="dxa"/>
            <w:gridSpan w:val="2"/>
          </w:tcPr>
          <w:p w:rsidR="00E77E81" w:rsidRDefault="00E77E81" w:rsidP="008A6F80">
            <w:pPr>
              <w:ind w:right="-598"/>
              <w:rPr>
                <w:rFonts w:ascii="Times New Roman" w:hAnsi="Times New Roman"/>
                <w:b/>
                <w:i/>
              </w:rPr>
            </w:pPr>
          </w:p>
        </w:tc>
        <w:tc>
          <w:tcPr>
            <w:tcW w:w="13184" w:type="dxa"/>
            <w:gridSpan w:val="6"/>
          </w:tcPr>
          <w:p w:rsidR="00E77E81" w:rsidRDefault="00E77E81" w:rsidP="008A6F80">
            <w:pPr>
              <w:ind w:right="-598"/>
              <w:rPr>
                <w:rFonts w:ascii="Times New Roman" w:hAnsi="Times New Roman" w:cs="Times New Roman"/>
              </w:rPr>
            </w:pPr>
            <w:r>
              <w:rPr>
                <w:rFonts w:ascii="Times New Roman" w:hAnsi="Times New Roman"/>
                <w:b/>
                <w:i/>
              </w:rPr>
              <w:t>Total price of the tender, EUR incl. VAT (amount in words)</w:t>
            </w:r>
          </w:p>
        </w:tc>
      </w:tr>
    </w:tbl>
    <w:p w:rsidR="00DC7DAB" w:rsidRDefault="00DC7DAB" w:rsidP="008670BD">
      <w:pPr>
        <w:spacing w:after="0" w:line="240" w:lineRule="auto"/>
        <w:ind w:right="-598"/>
        <w:jc w:val="both"/>
        <w:rPr>
          <w:rFonts w:ascii="Times New Roman" w:hAnsi="Times New Roman" w:cs="Times New Roman"/>
        </w:rPr>
      </w:pPr>
    </w:p>
    <w:p w:rsidR="008A6F80" w:rsidRPr="008670BD" w:rsidRDefault="008A6F80" w:rsidP="008670BD">
      <w:pPr>
        <w:spacing w:after="0" w:line="240" w:lineRule="auto"/>
        <w:ind w:right="-598"/>
        <w:jc w:val="both"/>
        <w:rPr>
          <w:rFonts w:ascii="Times New Roman" w:hAnsi="Times New Roman" w:cs="Times New Roman"/>
        </w:rPr>
      </w:pPr>
    </w:p>
    <w:p w:rsidR="00984DB2" w:rsidRPr="008670BD" w:rsidRDefault="00984DB2" w:rsidP="00984DB2">
      <w:pPr>
        <w:spacing w:after="0" w:line="240" w:lineRule="auto"/>
        <w:rPr>
          <w:rFonts w:ascii="Times New Roman" w:hAnsi="Times New Roman" w:cs="Times New Roman"/>
        </w:rPr>
      </w:pPr>
      <w:r>
        <w:rPr>
          <w:rFonts w:ascii="Times New Roman" w:hAnsi="Times New Roman"/>
        </w:rPr>
        <w:t xml:space="preserve">REMARK*: The need for this service </w:t>
      </w:r>
      <w:proofErr w:type="gramStart"/>
      <w:r>
        <w:rPr>
          <w:rFonts w:ascii="Times New Roman" w:hAnsi="Times New Roman"/>
        </w:rPr>
        <w:t>may be adjusted</w:t>
      </w:r>
      <w:proofErr w:type="gramEnd"/>
      <w:r>
        <w:rPr>
          <w:rFonts w:ascii="Times New Roman" w:hAnsi="Times New Roman"/>
        </w:rPr>
        <w:t xml:space="preserve"> during the implementation of the phase.</w:t>
      </w:r>
    </w:p>
    <w:p w:rsidR="00843874" w:rsidRDefault="00843874">
      <w:pPr>
        <w:rPr>
          <w:rFonts w:ascii="Times New Roman" w:hAnsi="Times New Roman" w:cs="Times New Roman"/>
          <w:sz w:val="24"/>
          <w:szCs w:val="24"/>
        </w:rPr>
      </w:pPr>
    </w:p>
    <w:p w:rsidR="00984DB2" w:rsidRDefault="00984DB2">
      <w:pPr>
        <w:rPr>
          <w:rFonts w:ascii="Times New Roman" w:hAnsi="Times New Roman" w:cs="Times New Roman"/>
        </w:rPr>
      </w:pPr>
    </w:p>
    <w:p w:rsidR="008A6F80" w:rsidRPr="008670BD" w:rsidRDefault="008A6F80">
      <w:pPr>
        <w:rPr>
          <w:rFonts w:ascii="Times New Roman" w:hAnsi="Times New Roman" w:cs="Times New Roman"/>
        </w:rPr>
      </w:pPr>
    </w:p>
    <w:p w:rsidR="00D17877" w:rsidRPr="008670BD" w:rsidRDefault="00843874" w:rsidP="00843874">
      <w:pPr>
        <w:spacing w:after="0" w:line="240" w:lineRule="auto"/>
        <w:rPr>
          <w:rFonts w:ascii="Times New Roman" w:hAnsi="Times New Roman" w:cs="Times New Roman"/>
          <w:b/>
        </w:rPr>
      </w:pPr>
      <w:r>
        <w:rPr>
          <w:rFonts w:ascii="Times New Roman" w:hAnsi="Times New Roman"/>
          <w:b/>
        </w:rPr>
        <w:t>Price of services in Phase II (second):</w:t>
      </w:r>
    </w:p>
    <w:tbl>
      <w:tblPr>
        <w:tblStyle w:val="TableGrid"/>
        <w:tblW w:w="14596" w:type="dxa"/>
        <w:tblLook w:val="04A0" w:firstRow="1" w:lastRow="0" w:firstColumn="1" w:lastColumn="0" w:noHBand="0" w:noVBand="1"/>
      </w:tblPr>
      <w:tblGrid>
        <w:gridCol w:w="696"/>
        <w:gridCol w:w="6670"/>
        <w:gridCol w:w="1985"/>
        <w:gridCol w:w="2693"/>
        <w:gridCol w:w="2552"/>
      </w:tblGrid>
      <w:tr w:rsidR="00F9362D" w:rsidRPr="008670BD" w:rsidTr="00F9362D">
        <w:tc>
          <w:tcPr>
            <w:tcW w:w="696" w:type="dxa"/>
            <w:shd w:val="clear" w:color="auto" w:fill="BDD6EE" w:themeFill="accent1" w:themeFillTint="66"/>
            <w:vAlign w:val="center"/>
          </w:tcPr>
          <w:p w:rsidR="00F9362D" w:rsidRPr="008670BD" w:rsidRDefault="00F9362D" w:rsidP="008A6F80">
            <w:pPr>
              <w:jc w:val="center"/>
              <w:rPr>
                <w:rFonts w:ascii="Times New Roman" w:hAnsi="Times New Roman" w:cs="Times New Roman"/>
                <w:b/>
              </w:rPr>
            </w:pPr>
            <w:r>
              <w:rPr>
                <w:rFonts w:ascii="Times New Roman" w:hAnsi="Times New Roman"/>
                <w:b/>
              </w:rPr>
              <w:t>Row No</w:t>
            </w:r>
          </w:p>
        </w:tc>
        <w:tc>
          <w:tcPr>
            <w:tcW w:w="6670" w:type="dxa"/>
            <w:shd w:val="clear" w:color="auto" w:fill="BDD6EE" w:themeFill="accent1" w:themeFillTint="66"/>
            <w:vAlign w:val="center"/>
          </w:tcPr>
          <w:p w:rsidR="00F9362D" w:rsidRPr="008670BD" w:rsidRDefault="00F9362D" w:rsidP="008A6F80">
            <w:pPr>
              <w:jc w:val="center"/>
              <w:rPr>
                <w:rFonts w:ascii="Times New Roman" w:hAnsi="Times New Roman" w:cs="Times New Roman"/>
                <w:b/>
              </w:rPr>
            </w:pPr>
            <w:r>
              <w:rPr>
                <w:rFonts w:ascii="Times New Roman" w:hAnsi="Times New Roman"/>
                <w:b/>
              </w:rPr>
              <w:t>Service</w:t>
            </w:r>
          </w:p>
        </w:tc>
        <w:tc>
          <w:tcPr>
            <w:tcW w:w="1985" w:type="dxa"/>
            <w:shd w:val="clear" w:color="auto" w:fill="BDD6EE" w:themeFill="accent1" w:themeFillTint="66"/>
            <w:vAlign w:val="center"/>
          </w:tcPr>
          <w:p w:rsidR="00F9362D" w:rsidRPr="008A6F80" w:rsidRDefault="00F9362D" w:rsidP="002C2123">
            <w:pPr>
              <w:jc w:val="center"/>
              <w:rPr>
                <w:rFonts w:ascii="Times New Roman" w:hAnsi="Times New Roman" w:cs="Times New Roman"/>
                <w:b/>
              </w:rPr>
            </w:pPr>
            <w:r>
              <w:rPr>
                <w:rFonts w:ascii="Times New Roman" w:hAnsi="Times New Roman"/>
                <w:b/>
              </w:rPr>
              <w:t>Scope of services*</w:t>
            </w:r>
          </w:p>
        </w:tc>
        <w:tc>
          <w:tcPr>
            <w:tcW w:w="2693" w:type="dxa"/>
            <w:shd w:val="clear" w:color="auto" w:fill="BDD6EE" w:themeFill="accent1" w:themeFillTint="66"/>
            <w:vAlign w:val="center"/>
          </w:tcPr>
          <w:p w:rsidR="00F9362D" w:rsidRPr="00D04C7E" w:rsidRDefault="00F9362D" w:rsidP="008A6F80">
            <w:pPr>
              <w:spacing w:line="256" w:lineRule="auto"/>
              <w:jc w:val="center"/>
              <w:rPr>
                <w:rFonts w:ascii="Times New Roman" w:hAnsi="Times New Roman" w:cs="Times New Roman"/>
                <w:b/>
              </w:rPr>
            </w:pPr>
            <w:r>
              <w:rPr>
                <w:rFonts w:ascii="Times New Roman" w:hAnsi="Times New Roman"/>
                <w:b/>
              </w:rPr>
              <w:t xml:space="preserve">Price of services, </w:t>
            </w:r>
          </w:p>
          <w:p w:rsidR="00F9362D" w:rsidRDefault="00F9362D" w:rsidP="008A6F80">
            <w:pPr>
              <w:jc w:val="center"/>
              <w:rPr>
                <w:rFonts w:ascii="Times New Roman" w:hAnsi="Times New Roman" w:cs="Times New Roman"/>
                <w:b/>
              </w:rPr>
            </w:pPr>
            <w:r>
              <w:rPr>
                <w:rFonts w:ascii="Times New Roman" w:hAnsi="Times New Roman"/>
                <w:b/>
              </w:rPr>
              <w:t>[EUR] excl. VAT</w:t>
            </w:r>
          </w:p>
          <w:p w:rsidR="00F9362D" w:rsidRPr="008670BD" w:rsidRDefault="00F9362D" w:rsidP="008A6F80">
            <w:pPr>
              <w:jc w:val="center"/>
              <w:rPr>
                <w:rFonts w:ascii="Times New Roman" w:hAnsi="Times New Roman" w:cs="Times New Roman"/>
              </w:rPr>
            </w:pPr>
            <w:r>
              <w:rPr>
                <w:rFonts w:ascii="Times New Roman" w:hAnsi="Times New Roman"/>
                <w:b/>
              </w:rPr>
              <w:t>1 month</w:t>
            </w:r>
          </w:p>
        </w:tc>
        <w:tc>
          <w:tcPr>
            <w:tcW w:w="2552" w:type="dxa"/>
            <w:shd w:val="clear" w:color="auto" w:fill="BDD6EE" w:themeFill="accent1" w:themeFillTint="66"/>
            <w:vAlign w:val="center"/>
          </w:tcPr>
          <w:p w:rsidR="00F9362D" w:rsidRPr="008670BD" w:rsidRDefault="00F9362D" w:rsidP="008A6F80">
            <w:pPr>
              <w:jc w:val="center"/>
              <w:rPr>
                <w:rFonts w:ascii="Times New Roman" w:hAnsi="Times New Roman" w:cs="Times New Roman"/>
              </w:rPr>
            </w:pPr>
            <w:r>
              <w:rPr>
                <w:rFonts w:ascii="Times New Roman" w:hAnsi="Times New Roman"/>
                <w:b/>
              </w:rPr>
              <w:t>Total price of services, EUR excl. VAT</w:t>
            </w:r>
          </w:p>
        </w:tc>
      </w:tr>
      <w:tr w:rsidR="00F9362D" w:rsidRPr="008670BD" w:rsidTr="00F9362D">
        <w:tc>
          <w:tcPr>
            <w:tcW w:w="696" w:type="dxa"/>
          </w:tcPr>
          <w:p w:rsidR="00F9362D" w:rsidRPr="008670BD" w:rsidRDefault="00F9362D" w:rsidP="008A6F80">
            <w:pPr>
              <w:jc w:val="center"/>
              <w:rPr>
                <w:rFonts w:ascii="Times New Roman" w:hAnsi="Times New Roman" w:cs="Times New Roman"/>
              </w:rPr>
            </w:pPr>
            <w:r>
              <w:rPr>
                <w:rFonts w:ascii="Times New Roman" w:hAnsi="Times New Roman"/>
              </w:rPr>
              <w:t>1.</w:t>
            </w:r>
          </w:p>
        </w:tc>
        <w:tc>
          <w:tcPr>
            <w:tcW w:w="6670" w:type="dxa"/>
          </w:tcPr>
          <w:p w:rsidR="00F9362D" w:rsidRPr="008670BD" w:rsidRDefault="00F9362D" w:rsidP="008A6F80">
            <w:pPr>
              <w:rPr>
                <w:rFonts w:ascii="Times New Roman" w:hAnsi="Times New Roman" w:cs="Times New Roman"/>
              </w:rPr>
            </w:pPr>
            <w:r>
              <w:rPr>
                <w:rFonts w:ascii="Times New Roman" w:hAnsi="Times New Roman"/>
              </w:rPr>
              <w:t>Supervision of project implementation**</w:t>
            </w:r>
          </w:p>
        </w:tc>
        <w:tc>
          <w:tcPr>
            <w:tcW w:w="1985" w:type="dxa"/>
          </w:tcPr>
          <w:p w:rsidR="00F9362D" w:rsidRDefault="00F9362D" w:rsidP="008A6F80">
            <w:pPr>
              <w:jc w:val="center"/>
              <w:rPr>
                <w:rFonts w:ascii="Times New Roman" w:hAnsi="Times New Roman" w:cs="Times New Roman"/>
              </w:rPr>
            </w:pPr>
            <w:r>
              <w:rPr>
                <w:rFonts w:ascii="Times New Roman" w:hAnsi="Times New Roman"/>
              </w:rPr>
              <w:t>12 months</w:t>
            </w:r>
          </w:p>
        </w:tc>
        <w:tc>
          <w:tcPr>
            <w:tcW w:w="2693" w:type="dxa"/>
          </w:tcPr>
          <w:p w:rsidR="00F9362D" w:rsidRPr="008670BD" w:rsidRDefault="00F9362D" w:rsidP="008A6F80">
            <w:pPr>
              <w:rPr>
                <w:rFonts w:ascii="Times New Roman" w:hAnsi="Times New Roman" w:cs="Times New Roman"/>
              </w:rPr>
            </w:pPr>
          </w:p>
        </w:tc>
        <w:tc>
          <w:tcPr>
            <w:tcW w:w="2552" w:type="dxa"/>
          </w:tcPr>
          <w:p w:rsidR="00F9362D" w:rsidRPr="008670BD" w:rsidRDefault="00F9362D" w:rsidP="008A6F80">
            <w:pPr>
              <w:rPr>
                <w:rFonts w:ascii="Times New Roman" w:hAnsi="Times New Roman" w:cs="Times New Roman"/>
              </w:rPr>
            </w:pPr>
          </w:p>
        </w:tc>
      </w:tr>
      <w:tr w:rsidR="00F9362D" w:rsidRPr="008670BD" w:rsidTr="00F9362D">
        <w:tc>
          <w:tcPr>
            <w:tcW w:w="696" w:type="dxa"/>
          </w:tcPr>
          <w:p w:rsidR="00F9362D" w:rsidRPr="008670BD" w:rsidRDefault="00F9362D" w:rsidP="008A6F80">
            <w:pPr>
              <w:jc w:val="center"/>
              <w:rPr>
                <w:rFonts w:ascii="Times New Roman" w:hAnsi="Times New Roman" w:cs="Times New Roman"/>
              </w:rPr>
            </w:pPr>
          </w:p>
        </w:tc>
        <w:tc>
          <w:tcPr>
            <w:tcW w:w="6670" w:type="dxa"/>
          </w:tcPr>
          <w:p w:rsidR="00F9362D" w:rsidRPr="008670BD" w:rsidRDefault="00F9362D" w:rsidP="008A6F80">
            <w:pPr>
              <w:rPr>
                <w:rFonts w:ascii="Times New Roman" w:hAnsi="Times New Roman" w:cs="Times New Roman"/>
              </w:rPr>
            </w:pPr>
          </w:p>
        </w:tc>
        <w:tc>
          <w:tcPr>
            <w:tcW w:w="1985" w:type="dxa"/>
          </w:tcPr>
          <w:p w:rsidR="00F9362D" w:rsidRPr="008670BD" w:rsidRDefault="00F9362D" w:rsidP="008A6F80">
            <w:pPr>
              <w:jc w:val="center"/>
              <w:rPr>
                <w:rFonts w:ascii="Times New Roman" w:hAnsi="Times New Roman" w:cs="Times New Roman"/>
              </w:rPr>
            </w:pPr>
          </w:p>
        </w:tc>
        <w:tc>
          <w:tcPr>
            <w:tcW w:w="2693" w:type="dxa"/>
          </w:tcPr>
          <w:p w:rsidR="00F9362D" w:rsidRPr="008670BD" w:rsidRDefault="00F9362D" w:rsidP="008A6F80">
            <w:pPr>
              <w:rPr>
                <w:rFonts w:ascii="Times New Roman" w:hAnsi="Times New Roman" w:cs="Times New Roman"/>
              </w:rPr>
            </w:pPr>
          </w:p>
        </w:tc>
        <w:tc>
          <w:tcPr>
            <w:tcW w:w="2552" w:type="dxa"/>
          </w:tcPr>
          <w:p w:rsidR="00F9362D" w:rsidRPr="008670BD" w:rsidRDefault="00F9362D" w:rsidP="008A6F80">
            <w:pPr>
              <w:rPr>
                <w:rFonts w:ascii="Times New Roman" w:hAnsi="Times New Roman" w:cs="Times New Roman"/>
              </w:rPr>
            </w:pPr>
          </w:p>
        </w:tc>
      </w:tr>
      <w:tr w:rsidR="00F9362D" w:rsidRPr="008670BD" w:rsidTr="00F9362D">
        <w:tc>
          <w:tcPr>
            <w:tcW w:w="696" w:type="dxa"/>
          </w:tcPr>
          <w:p w:rsidR="00F9362D" w:rsidRPr="008670BD" w:rsidRDefault="00F9362D" w:rsidP="00B97232">
            <w:pPr>
              <w:jc w:val="center"/>
              <w:rPr>
                <w:rFonts w:ascii="Times New Roman" w:hAnsi="Times New Roman" w:cs="Times New Roman"/>
              </w:rPr>
            </w:pPr>
          </w:p>
        </w:tc>
        <w:tc>
          <w:tcPr>
            <w:tcW w:w="6670" w:type="dxa"/>
          </w:tcPr>
          <w:p w:rsidR="00F9362D" w:rsidRPr="008670BD" w:rsidRDefault="00F9362D" w:rsidP="00B97232">
            <w:pPr>
              <w:spacing w:line="257" w:lineRule="auto"/>
              <w:jc w:val="right"/>
              <w:rPr>
                <w:rFonts w:ascii="Times New Roman" w:hAnsi="Times New Roman" w:cs="Times New Roman"/>
                <w:b/>
                <w:color w:val="000000"/>
              </w:rPr>
            </w:pPr>
            <w:r>
              <w:rPr>
                <w:rFonts w:ascii="Times New Roman" w:hAnsi="Times New Roman"/>
                <w:b/>
                <w:color w:val="000000"/>
              </w:rPr>
              <w:t>TOTAL (excl. VAT)</w:t>
            </w:r>
          </w:p>
        </w:tc>
        <w:tc>
          <w:tcPr>
            <w:tcW w:w="1985" w:type="dxa"/>
          </w:tcPr>
          <w:p w:rsidR="00F9362D" w:rsidRPr="008670BD" w:rsidRDefault="00F9362D" w:rsidP="00B97232">
            <w:pPr>
              <w:jc w:val="center"/>
              <w:rPr>
                <w:rFonts w:ascii="Times New Roman" w:hAnsi="Times New Roman" w:cs="Times New Roman"/>
              </w:rPr>
            </w:pPr>
          </w:p>
        </w:tc>
        <w:tc>
          <w:tcPr>
            <w:tcW w:w="2693" w:type="dxa"/>
          </w:tcPr>
          <w:p w:rsidR="00F9362D" w:rsidRPr="008670BD" w:rsidRDefault="00F9362D" w:rsidP="00B97232">
            <w:pPr>
              <w:rPr>
                <w:rFonts w:ascii="Times New Roman" w:hAnsi="Times New Roman" w:cs="Times New Roman"/>
              </w:rPr>
            </w:pPr>
          </w:p>
        </w:tc>
        <w:tc>
          <w:tcPr>
            <w:tcW w:w="2552" w:type="dxa"/>
          </w:tcPr>
          <w:p w:rsidR="00F9362D" w:rsidRPr="008670BD" w:rsidRDefault="00F9362D" w:rsidP="00B97232">
            <w:pPr>
              <w:rPr>
                <w:rFonts w:ascii="Times New Roman" w:hAnsi="Times New Roman" w:cs="Times New Roman"/>
              </w:rPr>
            </w:pPr>
          </w:p>
        </w:tc>
      </w:tr>
      <w:tr w:rsidR="00F9362D" w:rsidRPr="008670BD" w:rsidTr="00F9362D">
        <w:tc>
          <w:tcPr>
            <w:tcW w:w="696" w:type="dxa"/>
          </w:tcPr>
          <w:p w:rsidR="00F9362D" w:rsidRPr="008670BD" w:rsidRDefault="00F9362D" w:rsidP="00B97232">
            <w:pPr>
              <w:jc w:val="center"/>
              <w:rPr>
                <w:rFonts w:ascii="Times New Roman" w:hAnsi="Times New Roman" w:cs="Times New Roman"/>
              </w:rPr>
            </w:pPr>
          </w:p>
        </w:tc>
        <w:tc>
          <w:tcPr>
            <w:tcW w:w="6670" w:type="dxa"/>
          </w:tcPr>
          <w:p w:rsidR="00F9362D" w:rsidRPr="008670BD" w:rsidRDefault="00F9362D" w:rsidP="00B97232">
            <w:pPr>
              <w:spacing w:line="257" w:lineRule="auto"/>
              <w:jc w:val="right"/>
              <w:rPr>
                <w:rFonts w:ascii="Times New Roman" w:hAnsi="Times New Roman" w:cs="Times New Roman"/>
                <w:b/>
                <w:color w:val="000000"/>
              </w:rPr>
            </w:pPr>
            <w:r>
              <w:rPr>
                <w:rFonts w:ascii="Times New Roman" w:hAnsi="Times New Roman"/>
                <w:b/>
                <w:color w:val="000000"/>
              </w:rPr>
              <w:t xml:space="preserve">VAT 21% </w:t>
            </w:r>
          </w:p>
        </w:tc>
        <w:tc>
          <w:tcPr>
            <w:tcW w:w="1985" w:type="dxa"/>
          </w:tcPr>
          <w:p w:rsidR="00F9362D" w:rsidRPr="008670BD" w:rsidRDefault="00F9362D" w:rsidP="00B97232">
            <w:pPr>
              <w:jc w:val="center"/>
              <w:rPr>
                <w:rFonts w:ascii="Times New Roman" w:hAnsi="Times New Roman" w:cs="Times New Roman"/>
              </w:rPr>
            </w:pPr>
          </w:p>
        </w:tc>
        <w:tc>
          <w:tcPr>
            <w:tcW w:w="2693" w:type="dxa"/>
          </w:tcPr>
          <w:p w:rsidR="00F9362D" w:rsidRPr="008670BD" w:rsidRDefault="00F9362D" w:rsidP="00B97232">
            <w:pPr>
              <w:rPr>
                <w:rFonts w:ascii="Times New Roman" w:hAnsi="Times New Roman" w:cs="Times New Roman"/>
              </w:rPr>
            </w:pPr>
          </w:p>
        </w:tc>
        <w:tc>
          <w:tcPr>
            <w:tcW w:w="2552" w:type="dxa"/>
          </w:tcPr>
          <w:p w:rsidR="00F9362D" w:rsidRPr="008670BD" w:rsidRDefault="00F9362D" w:rsidP="00B97232">
            <w:pPr>
              <w:rPr>
                <w:rFonts w:ascii="Times New Roman" w:hAnsi="Times New Roman" w:cs="Times New Roman"/>
              </w:rPr>
            </w:pPr>
          </w:p>
        </w:tc>
      </w:tr>
      <w:tr w:rsidR="00F9362D" w:rsidRPr="008670BD" w:rsidTr="00F9362D">
        <w:tc>
          <w:tcPr>
            <w:tcW w:w="696" w:type="dxa"/>
          </w:tcPr>
          <w:p w:rsidR="00F9362D" w:rsidRPr="008670BD" w:rsidRDefault="00F9362D" w:rsidP="00B97232">
            <w:pPr>
              <w:jc w:val="center"/>
              <w:rPr>
                <w:rFonts w:ascii="Times New Roman" w:hAnsi="Times New Roman" w:cs="Times New Roman"/>
              </w:rPr>
            </w:pPr>
          </w:p>
        </w:tc>
        <w:tc>
          <w:tcPr>
            <w:tcW w:w="6670" w:type="dxa"/>
          </w:tcPr>
          <w:p w:rsidR="00F9362D" w:rsidRPr="008670BD" w:rsidRDefault="00F9362D" w:rsidP="00B97232">
            <w:pPr>
              <w:spacing w:line="257" w:lineRule="auto"/>
              <w:jc w:val="right"/>
              <w:rPr>
                <w:rFonts w:ascii="Times New Roman" w:hAnsi="Times New Roman" w:cs="Times New Roman"/>
                <w:b/>
                <w:color w:val="000000"/>
              </w:rPr>
            </w:pPr>
            <w:r>
              <w:rPr>
                <w:rFonts w:ascii="Times New Roman" w:hAnsi="Times New Roman"/>
                <w:b/>
                <w:color w:val="000000"/>
              </w:rPr>
              <w:t>TOTAL (incl. VAT)</w:t>
            </w:r>
          </w:p>
        </w:tc>
        <w:tc>
          <w:tcPr>
            <w:tcW w:w="1985" w:type="dxa"/>
          </w:tcPr>
          <w:p w:rsidR="00F9362D" w:rsidRPr="008670BD" w:rsidRDefault="00F9362D" w:rsidP="00B97232">
            <w:pPr>
              <w:jc w:val="center"/>
              <w:rPr>
                <w:rFonts w:ascii="Times New Roman" w:hAnsi="Times New Roman" w:cs="Times New Roman"/>
              </w:rPr>
            </w:pPr>
          </w:p>
        </w:tc>
        <w:tc>
          <w:tcPr>
            <w:tcW w:w="2693" w:type="dxa"/>
          </w:tcPr>
          <w:p w:rsidR="00F9362D" w:rsidRPr="008670BD" w:rsidRDefault="00F9362D" w:rsidP="00B97232">
            <w:pPr>
              <w:rPr>
                <w:rFonts w:ascii="Times New Roman" w:hAnsi="Times New Roman" w:cs="Times New Roman"/>
              </w:rPr>
            </w:pPr>
          </w:p>
        </w:tc>
        <w:tc>
          <w:tcPr>
            <w:tcW w:w="2552" w:type="dxa"/>
          </w:tcPr>
          <w:p w:rsidR="00F9362D" w:rsidRPr="008670BD" w:rsidRDefault="00F9362D" w:rsidP="00B97232">
            <w:pPr>
              <w:rPr>
                <w:rFonts w:ascii="Times New Roman" w:hAnsi="Times New Roman" w:cs="Times New Roman"/>
              </w:rPr>
            </w:pPr>
          </w:p>
        </w:tc>
      </w:tr>
      <w:tr w:rsidR="00F9362D" w:rsidTr="00B97232">
        <w:tblPrEx>
          <w:tblLook w:val="0000" w:firstRow="0" w:lastRow="0" w:firstColumn="0" w:lastColumn="0" w:noHBand="0" w:noVBand="0"/>
        </w:tblPrEx>
        <w:trPr>
          <w:trHeight w:val="270"/>
        </w:trPr>
        <w:tc>
          <w:tcPr>
            <w:tcW w:w="14596" w:type="dxa"/>
            <w:gridSpan w:val="5"/>
          </w:tcPr>
          <w:p w:rsidR="00F9362D" w:rsidRDefault="00F9362D" w:rsidP="00B97232">
            <w:pPr>
              <w:ind w:right="-598"/>
              <w:rPr>
                <w:rFonts w:ascii="Times New Roman" w:hAnsi="Times New Roman" w:cs="Times New Roman"/>
              </w:rPr>
            </w:pPr>
            <w:r>
              <w:rPr>
                <w:rFonts w:ascii="Times New Roman" w:hAnsi="Times New Roman"/>
                <w:b/>
                <w:i/>
              </w:rPr>
              <w:t>Total price of the tender, EUR incl. VAT (amount in words)</w:t>
            </w:r>
          </w:p>
        </w:tc>
      </w:tr>
    </w:tbl>
    <w:p w:rsidR="002C2123" w:rsidRDefault="002C2123" w:rsidP="00984DB2">
      <w:pPr>
        <w:spacing w:after="0" w:line="240" w:lineRule="auto"/>
        <w:rPr>
          <w:rFonts w:ascii="Times New Roman" w:hAnsi="Times New Roman" w:cs="Times New Roman"/>
        </w:rPr>
      </w:pPr>
    </w:p>
    <w:p w:rsidR="00984DB2" w:rsidRPr="008670BD" w:rsidRDefault="00984DB2" w:rsidP="00984DB2">
      <w:pPr>
        <w:spacing w:after="0" w:line="240" w:lineRule="auto"/>
        <w:rPr>
          <w:rFonts w:ascii="Times New Roman" w:hAnsi="Times New Roman" w:cs="Times New Roman"/>
        </w:rPr>
      </w:pPr>
    </w:p>
    <w:p w:rsidR="008670BD" w:rsidRPr="008670BD" w:rsidRDefault="008670BD" w:rsidP="008670BD">
      <w:pPr>
        <w:spacing w:after="0" w:line="240" w:lineRule="auto"/>
        <w:ind w:right="-598"/>
        <w:jc w:val="both"/>
        <w:rPr>
          <w:rFonts w:ascii="Times New Roman" w:hAnsi="Times New Roman" w:cs="Times New Roman"/>
        </w:rPr>
      </w:pPr>
      <w:r>
        <w:rPr>
          <w:rFonts w:ascii="Times New Roman" w:hAnsi="Times New Roman"/>
        </w:rPr>
        <w:t xml:space="preserve">REMARK*: The time limit for the provision of the services </w:t>
      </w:r>
      <w:proofErr w:type="gramStart"/>
      <w:r>
        <w:rPr>
          <w:rFonts w:ascii="Times New Roman" w:hAnsi="Times New Roman"/>
        </w:rPr>
        <w:t>shall be calculated</w:t>
      </w:r>
      <w:proofErr w:type="gramEnd"/>
      <w:r>
        <w:rPr>
          <w:rFonts w:ascii="Times New Roman" w:hAnsi="Times New Roman"/>
        </w:rPr>
        <w:t xml:space="preserve"> from the commencement of the construction work. Supervision of the project implementation </w:t>
      </w:r>
      <w:proofErr w:type="gramStart"/>
      <w:r>
        <w:rPr>
          <w:rFonts w:ascii="Times New Roman" w:hAnsi="Times New Roman"/>
        </w:rPr>
        <w:t>shall be carried out</w:t>
      </w:r>
      <w:proofErr w:type="gramEnd"/>
      <w:r>
        <w:rPr>
          <w:rFonts w:ascii="Times New Roman" w:hAnsi="Times New Roman"/>
        </w:rPr>
        <w:t xml:space="preserve"> during the course of the construction contract. The provisional estimated </w:t>
      </w:r>
      <w:proofErr w:type="gramStart"/>
      <w:r>
        <w:rPr>
          <w:rFonts w:ascii="Times New Roman" w:hAnsi="Times New Roman"/>
        </w:rPr>
        <w:t>time frame</w:t>
      </w:r>
      <w:proofErr w:type="gramEnd"/>
      <w:r>
        <w:rPr>
          <w:rFonts w:ascii="Times New Roman" w:hAnsi="Times New Roman"/>
        </w:rPr>
        <w:t xml:space="preserve"> for the construction works is 12 (twelve) months. After the Supplier has provided the design services, the Procurement Contract shall be suspended for a period of time pending a separate procurement procedure for the procurement of the works and the award of the contract to the Supplier to carry out the works (the suspension period shall not exceed 12 (twelve) months). The period between the end of the provision of design services and the start of the provision of project supervision services, during which the performance of the Procurement Contract is suspended, shall not be included in the duration of the Procurement Contract. </w:t>
      </w:r>
      <w:proofErr w:type="gramStart"/>
      <w:r>
        <w:rPr>
          <w:rFonts w:ascii="Times New Roman" w:hAnsi="Times New Roman"/>
        </w:rPr>
        <w:t>In the event of unforeseen circumstances arising during the provision of the project supervision services and in the absence of financing constraints due to the extension of the Procurement Contract, the term of the project supervision services may be extended by a written agreement of the Parties until the construction completion certificate has been signed or the Customer purchases additional services.</w:t>
      </w:r>
      <w:proofErr w:type="gramEnd"/>
      <w:r>
        <w:rPr>
          <w:rFonts w:ascii="Times New Roman" w:hAnsi="Times New Roman"/>
        </w:rPr>
        <w:t xml:space="preserve"> </w:t>
      </w:r>
    </w:p>
    <w:p w:rsidR="00984DB2" w:rsidRPr="008670BD" w:rsidRDefault="00984DB2" w:rsidP="00984DB2">
      <w:pPr>
        <w:spacing w:after="0" w:line="240" w:lineRule="auto"/>
        <w:ind w:right="-598"/>
        <w:jc w:val="both"/>
        <w:rPr>
          <w:rFonts w:ascii="Times New Roman" w:hAnsi="Times New Roman" w:cs="Times New Roman"/>
        </w:rPr>
      </w:pPr>
      <w:r>
        <w:rPr>
          <w:rFonts w:ascii="Times New Roman" w:hAnsi="Times New Roman"/>
        </w:rPr>
        <w:t>REMARK**: Failure to secure funding for the implementation of the Project as developed shall not commit the Customer to procure the services for the second phase.</w:t>
      </w:r>
    </w:p>
    <w:p w:rsidR="00984DB2" w:rsidRPr="008670BD" w:rsidRDefault="00984DB2" w:rsidP="00984DB2">
      <w:pPr>
        <w:ind w:right="-598"/>
        <w:jc w:val="both"/>
        <w:rPr>
          <w:rFonts w:ascii="Times New Roman" w:hAnsi="Times New Roman" w:cs="Times New Roman"/>
        </w:rPr>
      </w:pPr>
    </w:p>
    <w:p w:rsidR="00984DB2" w:rsidRPr="008670BD" w:rsidRDefault="00984DB2">
      <w:pPr>
        <w:rPr>
          <w:rFonts w:ascii="Times New Roman" w:hAnsi="Times New Roman" w:cs="Times New Roman"/>
        </w:rPr>
      </w:pPr>
    </w:p>
    <w:p w:rsidR="00984DB2" w:rsidRPr="00984DB2" w:rsidRDefault="00984DB2" w:rsidP="00984DB2">
      <w:pPr>
        <w:tabs>
          <w:tab w:val="center" w:pos="4819"/>
          <w:tab w:val="right" w:pos="9638"/>
        </w:tabs>
        <w:spacing w:line="264" w:lineRule="auto"/>
        <w:jc w:val="both"/>
        <w:rPr>
          <w:rFonts w:ascii="Times New Roman" w:hAnsi="Times New Roman" w:cs="Times New Roman"/>
        </w:rPr>
      </w:pPr>
      <w:r>
        <w:rPr>
          <w:rFonts w:ascii="Times New Roman" w:hAnsi="Times New Roman"/>
          <w:b/>
        </w:rPr>
        <w:lastRenderedPageBreak/>
        <w:t>Notes</w:t>
      </w:r>
      <w:r>
        <w:rPr>
          <w:rFonts w:ascii="Times New Roman" w:hAnsi="Times New Roman"/>
        </w:rPr>
        <w:t xml:space="preserve"> </w:t>
      </w:r>
      <w:r>
        <w:rPr>
          <w:rFonts w:ascii="Times New Roman" w:hAnsi="Times New Roman"/>
          <w:b/>
        </w:rPr>
        <w:t>for completing the Table:</w:t>
      </w:r>
    </w:p>
    <w:p w:rsidR="00984DB2" w:rsidRPr="00984DB2" w:rsidRDefault="00984DB2" w:rsidP="00984DB2">
      <w:pPr>
        <w:tabs>
          <w:tab w:val="center" w:pos="4819"/>
          <w:tab w:val="right" w:pos="9638"/>
        </w:tabs>
        <w:spacing w:line="264" w:lineRule="auto"/>
        <w:jc w:val="both"/>
        <w:rPr>
          <w:rFonts w:ascii="Times New Roman" w:hAnsi="Times New Roman" w:cs="Times New Roman"/>
        </w:rPr>
      </w:pPr>
      <w:r>
        <w:rPr>
          <w:rFonts w:ascii="Times New Roman" w:hAnsi="Times New Roman"/>
        </w:rPr>
        <w:t xml:space="preserve">- </w:t>
      </w:r>
      <w:proofErr w:type="gramStart"/>
      <w:r>
        <w:rPr>
          <w:rFonts w:ascii="Times New Roman" w:hAnsi="Times New Roman"/>
        </w:rPr>
        <w:t>the</w:t>
      </w:r>
      <w:proofErr w:type="gramEnd"/>
      <w:r>
        <w:rPr>
          <w:rFonts w:ascii="Times New Roman" w:hAnsi="Times New Roman"/>
        </w:rPr>
        <w:t xml:space="preserve"> total price (Amount) must be the sum of its component parts;</w:t>
      </w:r>
    </w:p>
    <w:p w:rsidR="00984DB2" w:rsidRPr="00984DB2" w:rsidRDefault="00984DB2" w:rsidP="00984DB2">
      <w:pPr>
        <w:tabs>
          <w:tab w:val="center" w:pos="4819"/>
          <w:tab w:val="right" w:pos="9638"/>
        </w:tabs>
        <w:spacing w:line="264" w:lineRule="auto"/>
        <w:ind w:right="-1165"/>
        <w:jc w:val="both"/>
        <w:rPr>
          <w:rFonts w:ascii="Times New Roman" w:hAnsi="Times New Roman" w:cs="Times New Roman"/>
        </w:rPr>
      </w:pPr>
      <w:r>
        <w:rPr>
          <w:rFonts w:ascii="Times New Roman" w:hAnsi="Times New Roman"/>
        </w:rPr>
        <w:t>- in cases where VAT is not payable by the Service Provider under the legislation in force, the Service Provider shall not fill in the relevant columns and shall indicate the reasons for VAT exemption;</w:t>
      </w:r>
    </w:p>
    <w:p w:rsidR="00984DB2" w:rsidRPr="00984DB2" w:rsidRDefault="00984DB2" w:rsidP="00984DB2">
      <w:pPr>
        <w:spacing w:line="256" w:lineRule="auto"/>
        <w:ind w:right="-739"/>
        <w:jc w:val="both"/>
        <w:rPr>
          <w:rFonts w:ascii="Times New Roman" w:hAnsi="Times New Roman" w:cs="Times New Roman"/>
        </w:rPr>
      </w:pPr>
      <w:r>
        <w:rPr>
          <w:rFonts w:ascii="Times New Roman" w:hAnsi="Times New Roman"/>
        </w:rPr>
        <w:t xml:space="preserve">- the Service Provider must evaluate all the services and works required to ensure that all the services specified in the list of priced activities are carried out properly and within the shortest possible time frame, without sacrificing the qualitative expression of the service. </w:t>
      </w:r>
    </w:p>
    <w:p w:rsidR="00984DB2" w:rsidRPr="008670BD" w:rsidRDefault="00984DB2">
      <w:pPr>
        <w:rPr>
          <w:rFonts w:ascii="Times New Roman" w:hAnsi="Times New Roman" w:cs="Times New Roman"/>
        </w:rPr>
      </w:pPr>
    </w:p>
    <w:sectPr w:rsidR="00984DB2" w:rsidRPr="008670BD" w:rsidSect="00984DB2">
      <w:pgSz w:w="16838" w:h="11906" w:orient="landscape"/>
      <w:pgMar w:top="1276" w:right="1701" w:bottom="567" w:left="1134"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69A"/>
    <w:rsid w:val="00165A61"/>
    <w:rsid w:val="002B66CA"/>
    <w:rsid w:val="002C2123"/>
    <w:rsid w:val="003428A9"/>
    <w:rsid w:val="00590E67"/>
    <w:rsid w:val="00604F9B"/>
    <w:rsid w:val="0062205F"/>
    <w:rsid w:val="006A3742"/>
    <w:rsid w:val="00704D2E"/>
    <w:rsid w:val="00843874"/>
    <w:rsid w:val="008670BD"/>
    <w:rsid w:val="008A6F80"/>
    <w:rsid w:val="00945BFB"/>
    <w:rsid w:val="00984DB2"/>
    <w:rsid w:val="009C769A"/>
    <w:rsid w:val="00BD7C43"/>
    <w:rsid w:val="00D04BD8"/>
    <w:rsid w:val="00D04C7E"/>
    <w:rsid w:val="00D17877"/>
    <w:rsid w:val="00DC7DAB"/>
    <w:rsid w:val="00E77E81"/>
    <w:rsid w:val="00F9362D"/>
    <w:rsid w:val="00FB716D"/>
    <w:rsid w:val="00FC48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F647"/>
  <w15:chartTrackingRefBased/>
  <w15:docId w15:val="{D68927EE-45AD-41BD-B2E2-ECE5E44C1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62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04C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6232F-38A6-443F-A9FF-407168C4E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2471</Words>
  <Characters>1409</Characters>
  <Application>Microsoft Office Word</Application>
  <DocSecurity>4</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Algirdas Kryžius</dc:creator>
  <cp:keywords/>
  <dc:description/>
  <cp:lastModifiedBy>Augustė Rimkutė</cp:lastModifiedBy>
  <cp:revision>2</cp:revision>
  <dcterms:created xsi:type="dcterms:W3CDTF">2025-05-22T05:46:00Z</dcterms:created>
  <dcterms:modified xsi:type="dcterms:W3CDTF">2025-05-22T05:46:00Z</dcterms:modified>
</cp:coreProperties>
</file>