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83A" w:rsidRDefault="0065783A" w:rsidP="003021E3">
      <w:pPr>
        <w:jc w:val="center"/>
        <w:rPr>
          <w:rFonts w:ascii="Arial" w:hAnsi="Arial" w:cs="Arial"/>
          <w:color w:val="000000"/>
          <w:szCs w:val="16"/>
          <w:u w:val="single"/>
        </w:rPr>
      </w:pPr>
    </w:p>
    <w:p w:rsidR="0065783A" w:rsidRPr="0065783A" w:rsidRDefault="0065783A" w:rsidP="0065783A">
      <w:pPr>
        <w:spacing w:after="160" w:line="259" w:lineRule="auto"/>
        <w:rPr>
          <w:rFonts w:ascii="Arial" w:hAnsi="Arial" w:cs="Arial"/>
          <w:color w:val="000000"/>
          <w:szCs w:val="16"/>
          <w:u w:val="single"/>
        </w:rPr>
      </w:pPr>
      <w:proofErr w:type="spellStart"/>
      <w:r w:rsidRPr="0065783A">
        <w:rPr>
          <w:rFonts w:ascii="Arial" w:hAnsi="Arial" w:cs="Arial"/>
          <w:color w:val="000000"/>
          <w:szCs w:val="16"/>
          <w:u w:val="single"/>
        </w:rPr>
        <w:t>Invitation</w:t>
      </w:r>
      <w:proofErr w:type="spellEnd"/>
      <w:r w:rsidRPr="0065783A">
        <w:rPr>
          <w:rFonts w:ascii="Arial" w:hAnsi="Arial" w:cs="Arial"/>
          <w:color w:val="000000"/>
          <w:szCs w:val="16"/>
          <w:u w:val="single"/>
        </w:rPr>
        <w:t xml:space="preserve"> to </w:t>
      </w:r>
      <w:proofErr w:type="spellStart"/>
      <w:r w:rsidRPr="0065783A">
        <w:rPr>
          <w:rFonts w:ascii="Arial" w:hAnsi="Arial" w:cs="Arial"/>
          <w:color w:val="000000"/>
          <w:szCs w:val="16"/>
          <w:u w:val="single"/>
        </w:rPr>
        <w:t>participate</w:t>
      </w:r>
      <w:proofErr w:type="spellEnd"/>
      <w:r w:rsidRPr="0065783A">
        <w:rPr>
          <w:rFonts w:ascii="Arial" w:hAnsi="Arial" w:cs="Arial"/>
          <w:color w:val="000000"/>
          <w:szCs w:val="16"/>
          <w:u w:val="single"/>
        </w:rPr>
        <w:t xml:space="preserve"> in </w:t>
      </w:r>
      <w:proofErr w:type="spellStart"/>
      <w:r w:rsidRPr="0065783A">
        <w:rPr>
          <w:rFonts w:ascii="Arial" w:hAnsi="Arial" w:cs="Arial"/>
          <w:color w:val="000000"/>
          <w:szCs w:val="16"/>
          <w:u w:val="single"/>
        </w:rPr>
        <w:t>the</w:t>
      </w:r>
      <w:proofErr w:type="spellEnd"/>
      <w:r w:rsidRPr="0065783A">
        <w:rPr>
          <w:rFonts w:ascii="Arial" w:hAnsi="Arial" w:cs="Arial"/>
          <w:color w:val="000000"/>
          <w:szCs w:val="16"/>
          <w:u w:val="single"/>
        </w:rPr>
        <w:t xml:space="preserve"> tender </w:t>
      </w:r>
      <w:proofErr w:type="spellStart"/>
      <w:r w:rsidRPr="0065783A">
        <w:rPr>
          <w:rFonts w:ascii="Arial" w:hAnsi="Arial" w:cs="Arial"/>
          <w:color w:val="000000"/>
          <w:szCs w:val="16"/>
          <w:u w:val="single"/>
        </w:rPr>
        <w:t>process</w:t>
      </w:r>
      <w:proofErr w:type="spellEnd"/>
    </w:p>
    <w:p w:rsidR="0065783A" w:rsidRPr="0065783A" w:rsidRDefault="0065783A" w:rsidP="0065783A">
      <w:pPr>
        <w:spacing w:after="160" w:line="259" w:lineRule="auto"/>
        <w:rPr>
          <w:rFonts w:ascii="Arial" w:hAnsi="Arial" w:cs="Arial"/>
          <w:color w:val="000000"/>
          <w:szCs w:val="16"/>
          <w:u w:val="single"/>
        </w:rPr>
      </w:pP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would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like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invite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participate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tender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carried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out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electronically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subject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tender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delivery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listed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system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Insert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technical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item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: "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please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insert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only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technical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select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yes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"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Insert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item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: "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"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Tender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conditions</w:t>
      </w:r>
      <w:proofErr w:type="spellEnd"/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1.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: in CZK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EUR per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piece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excluding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VAT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proofErr w:type="gramEnd"/>
      <w:r w:rsidRPr="007E0A35">
        <w:rPr>
          <w:rFonts w:ascii="Arial" w:hAnsi="Arial" w:cs="Arial"/>
          <w:color w:val="000000"/>
          <w:sz w:val="20"/>
          <w:szCs w:val="20"/>
        </w:rPr>
        <w:t xml:space="preserve"> set </w:t>
      </w:r>
      <w:proofErr w:type="gramStart"/>
      <w:r w:rsidRPr="007E0A35">
        <w:rPr>
          <w:rFonts w:ascii="Arial" w:hAnsi="Arial" w:cs="Arial"/>
          <w:color w:val="000000"/>
          <w:sz w:val="20"/>
          <w:szCs w:val="20"/>
        </w:rPr>
        <w:t>by</w:t>
      </w:r>
      <w:proofErr w:type="gram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final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binding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conclusion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purchase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according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processed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him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submitted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system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guarantees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completeness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his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entered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7E0A35">
        <w:rPr>
          <w:rFonts w:ascii="Arial" w:hAnsi="Arial" w:cs="Arial"/>
          <w:color w:val="000000"/>
          <w:sz w:val="20"/>
          <w:szCs w:val="20"/>
        </w:rPr>
        <w:t>by</w:t>
      </w:r>
      <w:proofErr w:type="gram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him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7E0A35">
        <w:rPr>
          <w:rFonts w:ascii="Arial" w:hAnsi="Arial" w:cs="Arial"/>
          <w:color w:val="000000"/>
          <w:sz w:val="20"/>
          <w:szCs w:val="20"/>
        </w:rPr>
        <w:t>are</w:t>
      </w:r>
      <w:proofErr w:type="gram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guaranteed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until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completed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2.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Payment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terms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: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invoice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maturity 60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days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unless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otherwise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agreed</w:t>
      </w:r>
      <w:proofErr w:type="spellEnd"/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3.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Delivery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terms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: DAP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Orlen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Unipetrol RPA s.r.o. (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freight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included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)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Do not use Czech Post to transport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goods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4.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Delivery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implementation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: 2025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5.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conditions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: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require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precise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technical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please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included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attachment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item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system</w:t>
      </w:r>
      <w:proofErr w:type="spellEnd"/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>- WE REQUEST ONLY COMPLETE OFFERS FOR ALL REQUESTED ITEMS.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requirements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: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submit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only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 Czech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English</w:t>
      </w:r>
      <w:proofErr w:type="spellEnd"/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completed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Declaration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beneficial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owner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- insert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into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Pr="007E0A35">
        <w:rPr>
          <w:rFonts w:ascii="Arial" w:hAnsi="Arial" w:cs="Arial"/>
          <w:color w:val="000000"/>
          <w:sz w:val="20"/>
          <w:szCs w:val="20"/>
        </w:rPr>
        <w:t>your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profile</w:t>
      </w:r>
      <w:proofErr w:type="gramEnd"/>
      <w:r w:rsidRPr="007E0A3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Connect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DOCUMENTS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tab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have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not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already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done so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1.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Complete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technical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part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detailed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description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product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including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materials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tests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documentation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statement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new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spare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part,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event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goods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do not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fully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specified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specification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fact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must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marked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visibly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differences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specification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detailed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delivery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production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schedule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warranty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catalog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sheet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indicate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manufacturer</w:t>
      </w:r>
      <w:proofErr w:type="spellEnd"/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2.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Commercial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part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FA maturity,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confirmation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delivery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parity (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Incoterms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2020), validity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Indicate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whether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able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meet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requested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repair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date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Declaration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: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select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most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suitable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notify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supplier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fact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selected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thus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becomes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basis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 so-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called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multi-item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e-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auction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has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right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make a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selection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even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individual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items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e-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auction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selected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thus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also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becomes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negotiated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order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can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thus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choose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more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than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one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supplier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reserves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right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reject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all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submitted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cancel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request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announce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round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obliged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notify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all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participants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changes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immediately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may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confronted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comparative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based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on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advertiser's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internal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calculations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comparative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determined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before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start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competition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unchangeable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during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lastRenderedPageBreak/>
        <w:t xml:space="preserve">-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request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not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subject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not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governed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No. 134/2016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Coll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(on public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as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amended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) and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not a public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competition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for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most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suitable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pursuant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provisions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Section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1772 et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seq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Act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No. 89/2012, Civil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Code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as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amended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>.</w:t>
      </w: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</w:p>
    <w:p w:rsidR="0065783A" w:rsidRPr="007E0A35" w:rsidRDefault="0065783A" w:rsidP="007E0A3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7E0A35">
        <w:rPr>
          <w:rFonts w:ascii="Arial" w:hAnsi="Arial" w:cs="Arial"/>
          <w:color w:val="000000"/>
          <w:sz w:val="20"/>
          <w:szCs w:val="20"/>
        </w:rPr>
        <w:t xml:space="preserve">By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submitting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supplier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accepts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General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Commercial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Offers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Advertiser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published</w:t>
      </w:r>
      <w:proofErr w:type="spellEnd"/>
      <w:r w:rsidRPr="007E0A3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E0A35">
        <w:rPr>
          <w:rFonts w:ascii="Arial" w:hAnsi="Arial" w:cs="Arial"/>
          <w:color w:val="000000"/>
          <w:sz w:val="20"/>
          <w:szCs w:val="20"/>
        </w:rPr>
        <w:t>at</w:t>
      </w:r>
      <w:proofErr w:type="spellEnd"/>
    </w:p>
    <w:p w:rsidR="0065783A" w:rsidRDefault="0065783A" w:rsidP="0065783A">
      <w:pPr>
        <w:spacing w:after="160" w:line="259" w:lineRule="auto"/>
        <w:rPr>
          <w:rFonts w:ascii="Arial" w:hAnsi="Arial" w:cs="Arial"/>
          <w:color w:val="000000"/>
          <w:szCs w:val="16"/>
          <w:u w:val="single"/>
        </w:rPr>
      </w:pPr>
      <w:r w:rsidRPr="0065783A">
        <w:rPr>
          <w:rFonts w:ascii="Arial" w:hAnsi="Arial" w:cs="Arial"/>
          <w:color w:val="000000"/>
          <w:szCs w:val="16"/>
        </w:rPr>
        <w:t>http://www.unipetrolrpa.cz/cs/stran</w:t>
      </w:r>
      <w:bookmarkStart w:id="0" w:name="_GoBack"/>
      <w:bookmarkEnd w:id="0"/>
      <w:r w:rsidRPr="0065783A">
        <w:rPr>
          <w:rFonts w:ascii="Arial" w:hAnsi="Arial" w:cs="Arial"/>
          <w:color w:val="000000"/>
          <w:szCs w:val="16"/>
        </w:rPr>
        <w:t>ky/dodavatele.aspx</w:t>
      </w:r>
      <w:r>
        <w:rPr>
          <w:rFonts w:ascii="Arial" w:hAnsi="Arial" w:cs="Arial"/>
          <w:color w:val="000000"/>
          <w:szCs w:val="16"/>
          <w:u w:val="single"/>
        </w:rPr>
        <w:br w:type="page"/>
      </w:r>
    </w:p>
    <w:sectPr w:rsidR="00657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mataLightCondensed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C7A"/>
    <w:multiLevelType w:val="hybridMultilevel"/>
    <w:tmpl w:val="9B9E91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66A773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57782"/>
    <w:multiLevelType w:val="hybridMultilevel"/>
    <w:tmpl w:val="5CCA1E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A55E4"/>
    <w:multiLevelType w:val="hybridMultilevel"/>
    <w:tmpl w:val="12F23162"/>
    <w:lvl w:ilvl="0" w:tplc="566A77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D859B8"/>
    <w:multiLevelType w:val="multilevel"/>
    <w:tmpl w:val="99FA934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656"/>
        </w:tabs>
        <w:ind w:left="1656" w:hanging="576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E3"/>
    <w:rsid w:val="003021E3"/>
    <w:rsid w:val="003425A5"/>
    <w:rsid w:val="0065783A"/>
    <w:rsid w:val="007E0A35"/>
    <w:rsid w:val="00C7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38852-D802-402A-B7D6-6CDF34ED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2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V_Head1,h1,l1,Heading 1R,Kapitola,Záhlaví 1,H1,TOC 11,Nadpis dokumentu,ASAPHeading 1,Jméno organizace,kapitola,fjb1,1,Neutrál 2,V_Head11,Záhlaví 11,V_Head12,Záhlaví 12,Kapitola1,V_Head111,Záhlaví 111,h11,V_Head13,Záhlaví 13,Kapitola2,V_Head112"/>
    <w:basedOn w:val="Normln"/>
    <w:next w:val="Normln"/>
    <w:link w:val="Nadpis1Char"/>
    <w:qFormat/>
    <w:rsid w:val="003021E3"/>
    <w:pPr>
      <w:numPr>
        <w:numId w:val="1"/>
      </w:numPr>
      <w:tabs>
        <w:tab w:val="left" w:pos="432"/>
      </w:tabs>
      <w:overflowPunct w:val="0"/>
      <w:autoSpaceDE w:val="0"/>
      <w:autoSpaceDN w:val="0"/>
      <w:adjustRightInd w:val="0"/>
      <w:outlineLvl w:val="0"/>
    </w:pPr>
    <w:rPr>
      <w:rFonts w:ascii="FormataLightCondensed" w:hAnsi="FormataLightCondensed"/>
      <w:b/>
      <w:sz w:val="26"/>
      <w:szCs w:val="20"/>
    </w:rPr>
  </w:style>
  <w:style w:type="paragraph" w:styleId="Nadpis2">
    <w:name w:val="heading 2"/>
    <w:aliases w:val="V_Head2,V_Head21,V_Head22,h2,l2,Courseware #,Podkapitola1,hlavicka,Nadpis kapitoly,H2,Head2A,2,PA Major Section,ASAPHeading 2,list2,head2,G2,F2,2m,hlavní odstavec,Nadpis 21,Sub-Head1,F21,sub-sect,21,sub-sect1,22,sub-sect2,211,sub-sect11,X.X"/>
    <w:basedOn w:val="Normln"/>
    <w:next w:val="Normln"/>
    <w:link w:val="Nadpis2Char"/>
    <w:semiHidden/>
    <w:unhideWhenUsed/>
    <w:qFormat/>
    <w:rsid w:val="003021E3"/>
    <w:pPr>
      <w:numPr>
        <w:ilvl w:val="1"/>
        <w:numId w:val="1"/>
      </w:numPr>
      <w:tabs>
        <w:tab w:val="left" w:pos="360"/>
        <w:tab w:val="left" w:pos="1080"/>
      </w:tabs>
      <w:overflowPunct w:val="0"/>
      <w:autoSpaceDE w:val="0"/>
      <w:autoSpaceDN w:val="0"/>
      <w:adjustRightInd w:val="0"/>
      <w:outlineLvl w:val="1"/>
    </w:pPr>
    <w:rPr>
      <w:rFonts w:ascii="FormataLightCondensed" w:hAnsi="FormataLightCondensed"/>
      <w:b/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3021E3"/>
    <w:pPr>
      <w:keepNext/>
      <w:numPr>
        <w:ilvl w:val="2"/>
        <w:numId w:val="1"/>
      </w:numPr>
      <w:tabs>
        <w:tab w:val="left" w:pos="720"/>
      </w:tabs>
      <w:overflowPunct w:val="0"/>
      <w:autoSpaceDE w:val="0"/>
      <w:autoSpaceDN w:val="0"/>
      <w:adjustRightInd w:val="0"/>
      <w:spacing w:before="240" w:after="60"/>
      <w:outlineLvl w:val="2"/>
    </w:pPr>
    <w:rPr>
      <w:rFonts w:ascii="FormataLightCondensed" w:hAnsi="FormataLightCondensed"/>
      <w:b/>
      <w:szCs w:val="20"/>
    </w:rPr>
  </w:style>
  <w:style w:type="paragraph" w:styleId="Nadpis4">
    <w:name w:val="heading 4"/>
    <w:aliases w:val="h4,l4,V_Head4,H4,Podkapitola3,Aufgabe,dash,PA Micro Section,ASAPHeading 4,Map Title,tabu,Heading 4(war),X.X.X.X,4 dash,d,3,4,Nadpis_4_úroveň,L1 Heading 4,Prj4,BP Heading 4,Subhead C,GPH Heading 4,(Alt+4),Gliederung 4,h41,a.,4 dash1,d1,31,a.1"/>
    <w:basedOn w:val="Normln"/>
    <w:next w:val="Normln"/>
    <w:link w:val="Nadpis4Char"/>
    <w:semiHidden/>
    <w:unhideWhenUsed/>
    <w:qFormat/>
    <w:rsid w:val="003021E3"/>
    <w:pPr>
      <w:keepNext/>
      <w:numPr>
        <w:ilvl w:val="3"/>
        <w:numId w:val="1"/>
      </w:numPr>
      <w:tabs>
        <w:tab w:val="left" w:pos="864"/>
      </w:tabs>
      <w:overflowPunct w:val="0"/>
      <w:autoSpaceDE w:val="0"/>
      <w:autoSpaceDN w:val="0"/>
      <w:adjustRightInd w:val="0"/>
      <w:outlineLvl w:val="3"/>
    </w:pPr>
    <w:rPr>
      <w:rFonts w:ascii="FormataLightCondensed" w:hAnsi="FormataLightCondensed"/>
      <w:b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3021E3"/>
    <w:pPr>
      <w:numPr>
        <w:ilvl w:val="4"/>
        <w:numId w:val="1"/>
      </w:numPr>
      <w:tabs>
        <w:tab w:val="left" w:pos="1008"/>
      </w:tabs>
      <w:overflowPunct w:val="0"/>
      <w:autoSpaceDE w:val="0"/>
      <w:autoSpaceDN w:val="0"/>
      <w:adjustRightInd w:val="0"/>
      <w:spacing w:before="240" w:after="60"/>
      <w:outlineLvl w:val="4"/>
    </w:pPr>
    <w:rPr>
      <w:b/>
      <w:i/>
      <w:sz w:val="26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3021E3"/>
    <w:pPr>
      <w:numPr>
        <w:ilvl w:val="5"/>
        <w:numId w:val="1"/>
      </w:numPr>
      <w:tabs>
        <w:tab w:val="left" w:pos="1152"/>
      </w:tabs>
      <w:overflowPunct w:val="0"/>
      <w:autoSpaceDE w:val="0"/>
      <w:autoSpaceDN w:val="0"/>
      <w:adjustRightInd w:val="0"/>
      <w:spacing w:before="240" w:after="60"/>
      <w:outlineLvl w:val="5"/>
    </w:pPr>
    <w:rPr>
      <w:b/>
      <w:sz w:val="22"/>
      <w:szCs w:val="20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3021E3"/>
    <w:pPr>
      <w:numPr>
        <w:ilvl w:val="6"/>
        <w:numId w:val="1"/>
      </w:numPr>
      <w:tabs>
        <w:tab w:val="left" w:pos="1296"/>
      </w:tabs>
      <w:overflowPunct w:val="0"/>
      <w:autoSpaceDE w:val="0"/>
      <w:autoSpaceDN w:val="0"/>
      <w:adjustRightInd w:val="0"/>
      <w:spacing w:before="240" w:after="60"/>
      <w:outlineLvl w:val="6"/>
    </w:pPr>
    <w:rPr>
      <w:szCs w:val="20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3021E3"/>
    <w:pPr>
      <w:numPr>
        <w:ilvl w:val="7"/>
        <w:numId w:val="1"/>
      </w:numPr>
      <w:tabs>
        <w:tab w:val="left" w:pos="1440"/>
      </w:tabs>
      <w:overflowPunct w:val="0"/>
      <w:autoSpaceDE w:val="0"/>
      <w:autoSpaceDN w:val="0"/>
      <w:adjustRightInd w:val="0"/>
      <w:spacing w:before="240" w:after="60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3021E3"/>
    <w:pPr>
      <w:numPr>
        <w:ilvl w:val="8"/>
        <w:numId w:val="1"/>
      </w:numPr>
      <w:tabs>
        <w:tab w:val="left" w:pos="1584"/>
      </w:tabs>
      <w:overflowPunct w:val="0"/>
      <w:autoSpaceDE w:val="0"/>
      <w:autoSpaceDN w:val="0"/>
      <w:adjustRightInd w:val="0"/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,h1 Char,l1 Char,Heading 1R Char,Kapitola Char,Záhlaví 1 Char,H1 Char,TOC 11 Char,Nadpis dokumentu Char,ASAPHeading 1 Char,Jméno organizace Char,kapitola Char,fjb1 Char,1 Char,Neutrál 2 Char,V_Head11 Char,Záhlaví 11 Char"/>
    <w:basedOn w:val="Standardnpsmoodstavce"/>
    <w:link w:val="Nadpis1"/>
    <w:rsid w:val="003021E3"/>
    <w:rPr>
      <w:rFonts w:ascii="FormataLightCondensed" w:eastAsia="Times New Roman" w:hAnsi="FormataLightCondensed" w:cs="Times New Roman"/>
      <w:b/>
      <w:sz w:val="26"/>
      <w:szCs w:val="20"/>
      <w:lang w:eastAsia="cs-CZ"/>
    </w:rPr>
  </w:style>
  <w:style w:type="character" w:customStyle="1" w:styleId="Nadpis2Char">
    <w:name w:val="Nadpis 2 Char"/>
    <w:aliases w:val="V_Head2 Char,V_Head21 Char,V_Head22 Char,h2 Char,l2 Char,Courseware # Char,Podkapitola1 Char,hlavicka Char,Nadpis kapitoly Char,H2 Char,Head2A Char,2 Char,PA Major Section Char,ASAPHeading 2 Char,list2 Char,head2 Char,G2 Char,F2 Char"/>
    <w:basedOn w:val="Standardnpsmoodstavce"/>
    <w:link w:val="Nadpis2"/>
    <w:semiHidden/>
    <w:rsid w:val="003021E3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3021E3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4Char">
    <w:name w:val="Nadpis 4 Char"/>
    <w:aliases w:val="h4 Char,l4 Char,V_Head4 Char,H4 Char,Podkapitola3 Char,Aufgabe Char,dash Char,PA Micro Section Char,ASAPHeading 4 Char,Map Title Char,tabu Char,Heading 4(war) Char,X.X.X.X Char,4 dash Char,d Char,3 Char,4 Char,Nadpis_4_úroveň Char,h41 Char"/>
    <w:basedOn w:val="Standardnpsmoodstavce"/>
    <w:link w:val="Nadpis4"/>
    <w:semiHidden/>
    <w:rsid w:val="003021E3"/>
    <w:rPr>
      <w:rFonts w:ascii="FormataLightCondensed" w:eastAsia="Times New Roman" w:hAnsi="FormataLightCondensed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3021E3"/>
    <w:rPr>
      <w:rFonts w:ascii="Times New Roman" w:eastAsia="Times New Roman" w:hAnsi="Times New Roman" w:cs="Times New Roman"/>
      <w:b/>
      <w:i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3021E3"/>
    <w:rPr>
      <w:rFonts w:ascii="Times New Roman" w:eastAsia="Times New Roman" w:hAnsi="Times New Roman" w:cs="Times New Roman"/>
      <w:b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3021E3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3021E3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3021E3"/>
    <w:rPr>
      <w:rFonts w:ascii="Arial" w:eastAsia="Times New Roman" w:hAnsi="Arial" w:cs="Times New Roman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3021E3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021E3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Srbecká Jana (UNP-RPA)</dc:creator>
  <cp:keywords/>
  <dc:description/>
  <cp:lastModifiedBy>Srbecká Jana (UNP-RPA)</cp:lastModifiedBy>
  <cp:revision>4</cp:revision>
  <dcterms:created xsi:type="dcterms:W3CDTF">2025-02-26T10:24:00Z</dcterms:created>
  <dcterms:modified xsi:type="dcterms:W3CDTF">2025-04-25T10:16:00Z</dcterms:modified>
</cp:coreProperties>
</file>