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517"/>
        <w:gridCol w:w="7724"/>
        <w:gridCol w:w="1672"/>
      </w:tblGrid>
      <w:tr w:rsidR="004D2988" w:rsidRPr="00E62A24" w:rsidTr="005A6223">
        <w:trPr>
          <w:trHeight w:val="91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D2988" w:rsidRPr="00E62A24" w:rsidRDefault="00074E4A" w:rsidP="00354BDD">
            <w:pPr>
              <w:rPr>
                <w:b/>
                <w:bCs/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b/>
                <w:color w:val="000000"/>
                <w:sz w:val="20"/>
                <w:rFonts w:ascii="Arial" w:hAnsi="Arial"/>
              </w:rPr>
              <w:t xml:space="preserve">Item</w:t>
            </w:r>
            <w:r>
              <w:rPr>
                <w:b/>
                <w:color w:val="000000"/>
                <w:sz w:val="20"/>
                <w:rFonts w:ascii="Arial" w:hAnsi="Arial"/>
              </w:rPr>
              <w:t xml:space="preserve"> </w:t>
            </w:r>
            <w:r>
              <w:rPr>
                <w:b/>
                <w:color w:val="000000"/>
                <w:sz w:val="20"/>
                <w:rFonts w:ascii="Arial" w:hAnsi="Arial"/>
              </w:rPr>
              <w:t xml:space="preserve">No.</w:t>
            </w:r>
          </w:p>
        </w:tc>
        <w:tc>
          <w:tcPr>
            <w:tcW w:w="77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4D2988" w:rsidRPr="00E62A24" w:rsidRDefault="004D2988" w:rsidP="00354BDD">
            <w:pPr>
              <w:rPr>
                <w:b/>
                <w:bCs/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b/>
                <w:color w:val="000000"/>
                <w:sz w:val="20"/>
                <w:rFonts w:ascii="Arial" w:hAnsi="Arial"/>
              </w:rPr>
              <w:t xml:space="preserve">Qualification criteria</w:t>
            </w:r>
            <w:r>
              <w:rPr>
                <w:b/>
                <w:color w:val="000000"/>
                <w:sz w:val="20"/>
                <w:rFonts w:ascii="Arial" w:hAnsi="Arial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b/>
                <w:bCs/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b/>
                <w:bCs/>
                <w:rFonts w:ascii="Arial" w:hAnsi="Arial"/>
              </w:rPr>
              <w:t xml:space="preserve">YES/NO</w:t>
            </w:r>
            <w:r>
              <w:rPr>
                <w:color w:val="000000"/>
                <w:sz w:val="20"/>
                <w:rFonts w:ascii="Arial" w:hAnsi="Arial"/>
              </w:rPr>
              <w:t xml:space="preserve"> (if marked YES, necessary supporting documentation must be attached; otherwise, the proposal will be withdrawn from further evaluation)</w:t>
            </w:r>
          </w:p>
        </w:tc>
      </w:tr>
      <w:tr w:rsidR="004D2988" w:rsidRPr="00E62A24" w:rsidTr="0081432A">
        <w:trPr>
          <w:trHeight w:val="504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988" w:rsidRPr="00E62A24" w:rsidRDefault="004D2988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1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988" w:rsidRPr="00E62A24" w:rsidRDefault="0081432A" w:rsidP="00354BDD">
            <w:pPr>
              <w:jc w:val="both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Valid certificate issued by the National Energy Regulatory Council (NERC) of the Republic of Lithuania authorizing maintenance/operation of crude processing facilities.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E33B59" w:rsidRPr="00E62A24" w:rsidTr="005A6223">
        <w:trPr>
          <w:trHeight w:val="39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3B59" w:rsidRPr="00E62A24" w:rsidRDefault="00E33B59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2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59" w:rsidRPr="00E62A24" w:rsidRDefault="00E33B59" w:rsidP="00E33B59">
            <w:pPr>
              <w:jc w:val="both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Proof of compliance of quality management system with EN ISO 9001:2015 (LST EN ISO 9001:2015).</w:t>
            </w:r>
            <w:r>
              <w:rPr>
                <w:sz w:val="20"/>
                <w:rFonts w:ascii="Arial" w:hAnsi="Arial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B59" w:rsidRPr="00E62A24" w:rsidRDefault="00E33B59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E33B59" w:rsidRPr="00E62A24" w:rsidTr="005A6223">
        <w:trPr>
          <w:trHeight w:val="34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3B59" w:rsidRPr="00E62A24" w:rsidRDefault="00E33B59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3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59" w:rsidRPr="00E62A24" w:rsidRDefault="00E33B59" w:rsidP="00E33B59">
            <w:pPr>
              <w:jc w:val="both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Proof of compliance of environmental protection management system with EN ISO 14001:2015 (LST EN ISO 14001:2015).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B59" w:rsidRPr="00E62A24" w:rsidRDefault="00E33B59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4D2988" w:rsidRPr="00E62A24" w:rsidTr="005A6223">
        <w:trPr>
          <w:trHeight w:val="72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988" w:rsidRPr="00E62A24" w:rsidRDefault="00E33B59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4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2988" w:rsidRPr="00E62A24" w:rsidRDefault="004D2988" w:rsidP="00354BDD">
            <w:pPr>
              <w:jc w:val="both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A list of subcontractors (if any).</w:t>
            </w:r>
            <w:r>
              <w:rPr>
                <w:color w:val="000000"/>
                <w:sz w:val="20"/>
                <w:rFonts w:ascii="Arial" w:hAnsi="Arial"/>
              </w:rPr>
              <w:t xml:space="preserve">  </w:t>
            </w:r>
            <w:r>
              <w:rPr>
                <w:color w:val="000000"/>
                <w:sz w:val="20"/>
                <w:rFonts w:ascii="Arial" w:hAnsi="Arial"/>
              </w:rPr>
              <w:t xml:space="preserve">Where subcontractors are indicated, their valid (NERC) certificates for respective works shall be presented.</w:t>
            </w:r>
            <w:r>
              <w:rPr>
                <w:color w:val="000000"/>
                <w:sz w:val="20"/>
                <w:rFonts w:ascii="Arial" w:hAnsi="Arial"/>
              </w:rPr>
              <w:t xml:space="preserve"> </w:t>
            </w:r>
            <w:r>
              <w:rPr>
                <w:color w:val="000000"/>
                <w:sz w:val="20"/>
                <w:rFonts w:ascii="Arial" w:hAnsi="Arial"/>
              </w:rPr>
              <w:t xml:space="preserve">If engagement of subcontractors is indicated though the subcontractors are not named and/or their valid NERC certificates are not provided, the proposal will be rejected or, in case of necessity, subjected to additional revision.</w:t>
            </w:r>
            <w:r>
              <w:rPr>
                <w:color w:val="000000"/>
                <w:sz w:val="20"/>
                <w:rFonts w:ascii="Arial" w:hAnsi="Arial"/>
              </w:rPr>
              <w:t xml:space="preserve"> 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9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5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At least 2 employees working under employment contracts and having rigger qualification.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9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color w:val="000000"/>
                <w:sz w:val="20"/>
                <w:szCs w:val="20"/>
                <w:rFonts w:ascii="Arial" w:eastAsia="Times New Roman" w:hAnsi="Arial" w:cs="Arial"/>
              </w:rPr>
            </w:pPr>
            <w:r>
              <w:rPr>
                <w:color w:val="000000"/>
                <w:sz w:val="20"/>
                <w:rFonts w:ascii="Arial" w:hAnsi="Arial"/>
              </w:rPr>
              <w:t xml:space="preserve">6</w:t>
            </w:r>
          </w:p>
        </w:tc>
        <w:tc>
          <w:tcPr>
            <w:tcW w:w="7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At least 2 employees working under employment contracts and holding crane operation manager (supervisor) certificate.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424"/>
        </w:trPr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7</w:t>
            </w:r>
          </w:p>
        </w:tc>
        <w:tc>
          <w:tcPr>
            <w:tcW w:w="77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03FC" w:rsidRPr="00E62A24" w:rsidRDefault="00C703FC" w:rsidP="00C703F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At least 2 employees working under employment contracts and holding boiler maintenance foreman certificate.</w:t>
            </w:r>
          </w:p>
        </w:tc>
        <w:tc>
          <w:tcPr>
            <w:tcW w:w="16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384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8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03FC" w:rsidRPr="00E62A24" w:rsidRDefault="00C703FC" w:rsidP="001E482D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At least 2 employees working under employment contracts and holding process piping (for hazardous fluids) maintenance foreman certificate.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C703FC" w:rsidRPr="00E62A24" w:rsidTr="005A6223">
        <w:trPr>
          <w:trHeight w:val="46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3FC" w:rsidRPr="00E62A24" w:rsidRDefault="00C703FC" w:rsidP="005A6223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9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03FC" w:rsidRPr="00E62A24" w:rsidRDefault="00C703FC" w:rsidP="001E482D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At least 2 employees working under employment contracts and holding steam &amp; hot water piping maintenance foreman certificate.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3FC" w:rsidRPr="00E62A24" w:rsidRDefault="00C703FC" w:rsidP="00C703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4D2988" w:rsidRPr="00E62A24" w:rsidTr="005A6223">
        <w:trPr>
          <w:trHeight w:val="683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2988" w:rsidRPr="00E62A24" w:rsidRDefault="00E33B59" w:rsidP="005A6223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10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2988" w:rsidRPr="00E62A24" w:rsidRDefault="00074E4A" w:rsidP="00354BDD">
            <w:pPr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The number of work managers.</w:t>
            </w:r>
            <w:r>
              <w:rPr>
                <w:sz w:val="20"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OL requirement – at least 1 work manager for 15 workers.</w:t>
            </w:r>
            <w:r>
              <w:rPr>
                <w:sz w:val="20"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For this requirement, a work organization chart shall be presented according to work packages.</w:t>
            </w:r>
            <w:r>
              <w:rPr>
                <w:sz w:val="20"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In the absence of such information, the proposal will be withdrawn from further evaluation.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988" w:rsidRPr="00E62A24" w:rsidRDefault="004D2988" w:rsidP="00354BD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623EDB" w:rsidRPr="00E62A24" w:rsidTr="005A6223">
        <w:trPr>
          <w:trHeight w:val="412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EDB" w:rsidRPr="00E62A24" w:rsidRDefault="00623EDB" w:rsidP="00623EDB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11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EDB" w:rsidRPr="00E62A24" w:rsidRDefault="00623EDB" w:rsidP="00623EDB">
            <w:pPr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A list of company employees working under employment contracts and holding European Welding Engineer or European Welding Technologist (IWE, EWE or IWT, EWT) qualification certificates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623EDB" w:rsidRPr="00E62A24" w:rsidTr="005A6223">
        <w:trPr>
          <w:trHeight w:val="446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3EDB" w:rsidRPr="00E62A24" w:rsidRDefault="00623EDB" w:rsidP="00623EDB">
            <w:pPr>
              <w:jc w:val="center"/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12</w:t>
            </w:r>
          </w:p>
        </w:tc>
        <w:tc>
          <w:tcPr>
            <w:tcW w:w="7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3EDB" w:rsidRPr="00E62A24" w:rsidRDefault="00623EDB" w:rsidP="00623EDB">
            <w:pPr>
              <w:rPr>
                <w:sz w:val="20"/>
                <w:szCs w:val="20"/>
                <w:rFonts w:ascii="Arial" w:eastAsia="Times New Roman" w:hAnsi="Arial" w:cs="Arial"/>
              </w:rPr>
            </w:pPr>
            <w:r>
              <w:rPr>
                <w:sz w:val="20"/>
                <w:rFonts w:ascii="Arial" w:hAnsi="Arial"/>
              </w:rPr>
              <w:t xml:space="preserve">Work experience – where and what works performed over past 5 years.</w:t>
            </w:r>
            <w:r>
              <w:rPr>
                <w:sz w:val="20"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Experience must be appropriate to the type of works required (replacement of heat recovery boiler preheating drum). </w:t>
            </w:r>
            <w:r>
              <w:rPr>
                <w:sz w:val="20"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In the absence of such information, the proposal will be withdrawn from further evaluation.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3EDB" w:rsidRPr="00E62A24" w:rsidRDefault="00623EDB" w:rsidP="00623E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9E32F3" w:rsidRPr="00E62A24" w:rsidRDefault="009E32F3" w:rsidP="004D2988">
      <w:pPr>
        <w:jc w:val="both"/>
        <w:rPr>
          <w:rFonts w:ascii="Arial" w:hAnsi="Arial" w:cs="Arial"/>
          <w:sz w:val="20"/>
          <w:szCs w:val="20"/>
        </w:rPr>
      </w:pPr>
    </w:p>
    <w:p w:rsidR="009E32F3" w:rsidRPr="00E62A24" w:rsidRDefault="009E32F3" w:rsidP="004D2988">
      <w:pPr>
        <w:jc w:val="both"/>
        <w:rPr>
          <w:rFonts w:ascii="Arial" w:hAnsi="Arial" w:cs="Arial"/>
          <w:sz w:val="20"/>
          <w:szCs w:val="20"/>
        </w:rPr>
      </w:pPr>
    </w:p>
    <w:p w:rsidR="004D2988" w:rsidRPr="00E62A24" w:rsidRDefault="004D2988" w:rsidP="004D2988">
      <w:pPr>
        <w:rPr>
          <w:rFonts w:ascii="Arial" w:hAnsi="Arial" w:cs="Arial"/>
          <w:sz w:val="20"/>
          <w:szCs w:val="20"/>
        </w:rPr>
      </w:pPr>
    </w:p>
    <w:p w:rsidR="004D2988" w:rsidRDefault="004D2988" w:rsidP="004D2988">
      <w:pPr>
        <w:jc w:val="both"/>
        <w:rPr>
          <w:rFonts w:ascii="Arial" w:hAnsi="Arial" w:cs="Arial"/>
          <w:sz w:val="20"/>
          <w:szCs w:val="20"/>
        </w:rPr>
      </w:pPr>
    </w:p>
    <w:p w:rsidR="005A6223" w:rsidRPr="00E62A24" w:rsidRDefault="005A6223" w:rsidP="004D2988">
      <w:pPr>
        <w:jc w:val="both"/>
        <w:rPr>
          <w:rFonts w:ascii="Arial" w:hAnsi="Arial" w:cs="Arial"/>
          <w:sz w:val="20"/>
          <w:szCs w:val="20"/>
        </w:rPr>
      </w:pPr>
    </w:p>
    <w:sectPr w:rsidR="005A6223" w:rsidRPr="00E62A24" w:rsidSect="00074E4A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5C" w:rsidRDefault="00F2605C" w:rsidP="001C3E7F">
      <w:r>
        <w:separator/>
      </w:r>
    </w:p>
  </w:endnote>
  <w:endnote w:type="continuationSeparator" w:id="0">
    <w:p w:rsidR="00F2605C" w:rsidRDefault="00F2605C" w:rsidP="001C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5C" w:rsidRDefault="00F2605C" w:rsidP="001C3E7F">
      <w:r>
        <w:separator/>
      </w:r>
    </w:p>
  </w:footnote>
  <w:footnote w:type="continuationSeparator" w:id="0">
    <w:p w:rsidR="00F2605C" w:rsidRDefault="00F2605C" w:rsidP="001C3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88"/>
    <w:rsid w:val="00061897"/>
    <w:rsid w:val="00074E4A"/>
    <w:rsid w:val="001C3E7F"/>
    <w:rsid w:val="001E482D"/>
    <w:rsid w:val="001E71FC"/>
    <w:rsid w:val="0026478A"/>
    <w:rsid w:val="00441F01"/>
    <w:rsid w:val="004A7D7E"/>
    <w:rsid w:val="004D2988"/>
    <w:rsid w:val="005224FB"/>
    <w:rsid w:val="00547CB9"/>
    <w:rsid w:val="005A6223"/>
    <w:rsid w:val="006042F4"/>
    <w:rsid w:val="00623EDB"/>
    <w:rsid w:val="00635DFE"/>
    <w:rsid w:val="00656F4D"/>
    <w:rsid w:val="00674F57"/>
    <w:rsid w:val="00721E41"/>
    <w:rsid w:val="00784FE8"/>
    <w:rsid w:val="007D276B"/>
    <w:rsid w:val="007E505E"/>
    <w:rsid w:val="0081432A"/>
    <w:rsid w:val="008279FD"/>
    <w:rsid w:val="00860F43"/>
    <w:rsid w:val="008F0D8C"/>
    <w:rsid w:val="00907B47"/>
    <w:rsid w:val="009E32F3"/>
    <w:rsid w:val="00A3140D"/>
    <w:rsid w:val="00A3751E"/>
    <w:rsid w:val="00AC01CA"/>
    <w:rsid w:val="00BC46D1"/>
    <w:rsid w:val="00C2461D"/>
    <w:rsid w:val="00C4745A"/>
    <w:rsid w:val="00C703FC"/>
    <w:rsid w:val="00CB574B"/>
    <w:rsid w:val="00D61EAB"/>
    <w:rsid w:val="00DE7F89"/>
    <w:rsid w:val="00DF6B85"/>
    <w:rsid w:val="00E33B59"/>
    <w:rsid w:val="00E62A24"/>
    <w:rsid w:val="00E929B8"/>
    <w:rsid w:val="00F2605C"/>
    <w:rsid w:val="00F704DD"/>
    <w:rsid w:val="00FA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FCFD0-785A-4378-83DC-DC753A2E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98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C3E7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C3E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1C3E7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1C3E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1797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Buldakov</dc:creator>
  <cp:keywords/>
  <dc:description/>
  <cp:lastModifiedBy>Vaida Latakienė</cp:lastModifiedBy>
  <cp:revision>2</cp:revision>
  <dcterms:created xsi:type="dcterms:W3CDTF">2025-06-03T11:16:00Z</dcterms:created>
  <dcterms:modified xsi:type="dcterms:W3CDTF">2025-06-03T11:16:00Z</dcterms:modified>
</cp:coreProperties>
</file>