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3DD" w:rsidRDefault="008D03DD" w:rsidP="008D03DD">
      <w:pPr>
        <w:jc w:val="both"/>
        <w:rPr>
          <w:rFonts w:ascii="Arial" w:hAnsi="Arial" w:cs="Arial"/>
        </w:rPr>
      </w:pPr>
    </w:p>
    <w:p w:rsidR="008D03DD" w:rsidRDefault="008D03DD" w:rsidP="008D03DD">
      <w:pPr>
        <w:jc w:val="both"/>
        <w:rPr>
          <w:rFonts w:ascii="Arial" w:hAnsi="Arial" w:cs="Arial"/>
        </w:rPr>
      </w:pPr>
    </w:p>
    <w:tbl>
      <w:tblPr>
        <w:tblW w:w="10456" w:type="dxa"/>
        <w:tblLook w:val="04A0" w:firstRow="1" w:lastRow="0" w:firstColumn="1" w:lastColumn="0" w:noHBand="0" w:noVBand="1"/>
      </w:tblPr>
      <w:tblGrid>
        <w:gridCol w:w="669"/>
        <w:gridCol w:w="7854"/>
        <w:gridCol w:w="1933"/>
      </w:tblGrid>
      <w:tr w:rsidR="00691623" w:rsidRPr="00382A50" w:rsidTr="00691623">
        <w:trPr>
          <w:trHeight w:val="2493"/>
        </w:trPr>
        <w:tc>
          <w:tcPr>
            <w:tcW w:w="567" w:type="dxa"/>
            <w:tcBorders>
              <w:top w:val="single" w:sz="8" w:space="0" w:color="auto"/>
              <w:left w:val="nil"/>
              <w:bottom w:val="single" w:sz="4" w:space="0" w:color="auto"/>
              <w:right w:val="single" w:sz="4" w:space="0" w:color="auto"/>
            </w:tcBorders>
            <w:shd w:val="clear" w:color="000000" w:fill="C0C0C0"/>
          </w:tcPr>
          <w:p w:rsidR="00691623" w:rsidRDefault="00691623" w:rsidP="00691623">
            <w:pPr>
              <w:rPr>
                <w:rFonts w:ascii="Arial" w:eastAsia="Times New Roman" w:hAnsi="Arial" w:cs="Arial"/>
                <w:b/>
                <w:bCs/>
                <w:color w:val="000000"/>
                <w:lang w:eastAsia="lt-LT"/>
              </w:rPr>
            </w:pPr>
          </w:p>
          <w:p w:rsidR="00691623" w:rsidRDefault="00691623" w:rsidP="00691623">
            <w:pPr>
              <w:rPr>
                <w:rFonts w:ascii="Arial" w:eastAsia="Times New Roman" w:hAnsi="Arial" w:cs="Arial"/>
                <w:b/>
                <w:bCs/>
                <w:color w:val="000000"/>
                <w:lang w:eastAsia="lt-LT"/>
              </w:rPr>
            </w:pPr>
          </w:p>
          <w:p w:rsidR="00691623" w:rsidRDefault="00691623" w:rsidP="00691623">
            <w:pPr>
              <w:rPr>
                <w:rFonts w:ascii="Arial" w:eastAsia="Times New Roman" w:hAnsi="Arial" w:cs="Arial"/>
                <w:b/>
                <w:bCs/>
                <w:color w:val="000000"/>
                <w:lang w:eastAsia="lt-LT"/>
              </w:rPr>
            </w:pPr>
          </w:p>
          <w:p w:rsidR="00691623" w:rsidRDefault="00691623" w:rsidP="00691623">
            <w:pPr>
              <w:rPr>
                <w:rFonts w:ascii="Arial" w:eastAsia="Times New Roman" w:hAnsi="Arial" w:cs="Arial"/>
                <w:b/>
                <w:bCs/>
                <w:color w:val="000000"/>
                <w:lang w:eastAsia="lt-LT"/>
              </w:rPr>
            </w:pPr>
          </w:p>
          <w:p w:rsidR="00691623" w:rsidRPr="00B622FE" w:rsidRDefault="00691623" w:rsidP="00691623">
            <w:pPr>
              <w:rPr>
                <w:rFonts w:ascii="Arial" w:eastAsia="Times New Roman" w:hAnsi="Arial" w:cs="Arial"/>
                <w:b/>
                <w:bCs/>
                <w:color w:val="000000"/>
              </w:rPr>
            </w:pPr>
            <w:r>
              <w:rPr>
                <w:rFonts w:ascii="Arial" w:hAnsi="Arial"/>
                <w:b/>
                <w:color w:val="000000"/>
              </w:rPr>
              <w:t>Item No.</w:t>
            </w:r>
          </w:p>
        </w:tc>
        <w:tc>
          <w:tcPr>
            <w:tcW w:w="7956" w:type="dxa"/>
            <w:tcBorders>
              <w:top w:val="single" w:sz="8" w:space="0" w:color="auto"/>
              <w:left w:val="nil"/>
              <w:bottom w:val="single" w:sz="4" w:space="0" w:color="auto"/>
              <w:right w:val="single" w:sz="4" w:space="0" w:color="auto"/>
            </w:tcBorders>
            <w:shd w:val="clear" w:color="000000" w:fill="C0C0C0"/>
            <w:vAlign w:val="center"/>
            <w:hideMark/>
          </w:tcPr>
          <w:p w:rsidR="00691623" w:rsidRPr="00B622FE" w:rsidRDefault="00691623" w:rsidP="00691623">
            <w:pPr>
              <w:rPr>
                <w:rFonts w:ascii="Arial" w:eastAsia="Times New Roman" w:hAnsi="Arial" w:cs="Arial"/>
                <w:b/>
                <w:bCs/>
                <w:color w:val="000000"/>
              </w:rPr>
            </w:pPr>
            <w:r>
              <w:rPr>
                <w:rFonts w:ascii="Arial" w:hAnsi="Arial"/>
                <w:b/>
                <w:color w:val="000000"/>
              </w:rPr>
              <w:t>Technical criteria:</w:t>
            </w:r>
          </w:p>
        </w:tc>
        <w:tc>
          <w:tcPr>
            <w:tcW w:w="1933" w:type="dxa"/>
            <w:tcBorders>
              <w:top w:val="single" w:sz="8" w:space="0" w:color="auto"/>
              <w:left w:val="nil"/>
              <w:bottom w:val="nil"/>
              <w:right w:val="single" w:sz="8" w:space="0" w:color="auto"/>
            </w:tcBorders>
            <w:shd w:val="clear" w:color="000000" w:fill="BFBFBF"/>
            <w:vAlign w:val="bottom"/>
            <w:hideMark/>
          </w:tcPr>
          <w:p w:rsidR="00691623" w:rsidRPr="00382A50" w:rsidRDefault="00691623" w:rsidP="00691623">
            <w:pPr>
              <w:ind w:right="436"/>
              <w:rPr>
                <w:rFonts w:ascii="Calibri" w:eastAsia="Times New Roman" w:hAnsi="Calibri" w:cs="Times New Roman"/>
                <w:b/>
                <w:bCs/>
                <w:color w:val="000000"/>
                <w:sz w:val="20"/>
                <w:szCs w:val="20"/>
              </w:rPr>
            </w:pPr>
            <w:r>
              <w:rPr>
                <w:rFonts w:ascii="Calibri" w:hAnsi="Calibri"/>
                <w:b/>
                <w:bCs/>
                <w:color w:val="000000"/>
                <w:sz w:val="20"/>
              </w:rPr>
              <w:t>YES/NO</w:t>
            </w:r>
            <w:r>
              <w:rPr>
                <w:rFonts w:ascii="Calibri" w:hAnsi="Calibri"/>
                <w:b/>
                <w:color w:val="000000"/>
                <w:sz w:val="20"/>
              </w:rPr>
              <w:t xml:space="preserve"> (if marked YES, necessary supporting documentation must be attached; otherwise, the proposal will be withdrawn from further evaluation)</w:t>
            </w:r>
          </w:p>
        </w:tc>
      </w:tr>
      <w:tr w:rsidR="00691623" w:rsidRPr="00B622FE" w:rsidTr="00691623">
        <w:trPr>
          <w:trHeight w:val="375"/>
        </w:trPr>
        <w:tc>
          <w:tcPr>
            <w:tcW w:w="567" w:type="dxa"/>
            <w:tcBorders>
              <w:top w:val="nil"/>
              <w:left w:val="single" w:sz="4" w:space="0" w:color="auto"/>
              <w:bottom w:val="single" w:sz="8" w:space="0" w:color="auto"/>
              <w:right w:val="nil"/>
            </w:tcBorders>
            <w:vAlign w:val="center"/>
          </w:tcPr>
          <w:p w:rsidR="00691623" w:rsidRPr="003240ED" w:rsidRDefault="00691623" w:rsidP="00691623">
            <w:pPr>
              <w:jc w:val="center"/>
              <w:rPr>
                <w:rFonts w:ascii="Arial" w:hAnsi="Arial" w:cs="Arial"/>
              </w:rPr>
            </w:pPr>
            <w:r>
              <w:rPr>
                <w:rFonts w:ascii="Arial" w:hAnsi="Arial"/>
              </w:rPr>
              <w:t>1</w:t>
            </w:r>
          </w:p>
        </w:tc>
        <w:tc>
          <w:tcPr>
            <w:tcW w:w="7956" w:type="dxa"/>
            <w:tcBorders>
              <w:top w:val="nil"/>
              <w:left w:val="single" w:sz="4" w:space="0" w:color="auto"/>
              <w:bottom w:val="single" w:sz="8" w:space="0" w:color="auto"/>
              <w:right w:val="nil"/>
            </w:tcBorders>
            <w:shd w:val="clear" w:color="auto" w:fill="auto"/>
          </w:tcPr>
          <w:p w:rsidR="00691623" w:rsidRPr="003240ED" w:rsidRDefault="00DF5A8C" w:rsidP="00691623">
            <w:pPr>
              <w:rPr>
                <w:rFonts w:ascii="Arial" w:hAnsi="Arial" w:cs="Arial"/>
              </w:rPr>
            </w:pPr>
            <w:r>
              <w:rPr>
                <w:rFonts w:ascii="Arial" w:hAnsi="Arial"/>
              </w:rPr>
              <w:t>Submit the signed scopes of work along with the note 'ACKNOWLEDGED’.  This will serve as a confirmation that all works have been included in the proposal. Note: in the absence of signed Scope of Work, the proposal will be withdrawn from further evaluation.</w:t>
            </w:r>
          </w:p>
        </w:tc>
        <w:tc>
          <w:tcPr>
            <w:tcW w:w="1933" w:type="dxa"/>
            <w:tcBorders>
              <w:top w:val="nil"/>
              <w:left w:val="single" w:sz="8" w:space="0" w:color="auto"/>
              <w:bottom w:val="single" w:sz="4" w:space="0" w:color="auto"/>
              <w:right w:val="single" w:sz="8" w:space="0" w:color="auto"/>
            </w:tcBorders>
            <w:shd w:val="clear" w:color="auto" w:fill="auto"/>
            <w:vAlign w:val="bottom"/>
            <w:hideMark/>
          </w:tcPr>
          <w:p w:rsidR="00691623" w:rsidRPr="00B622FE" w:rsidRDefault="00691623" w:rsidP="00691623">
            <w:pPr>
              <w:rPr>
                <w:rFonts w:ascii="Calibri" w:eastAsia="Times New Roman" w:hAnsi="Calibri" w:cs="Times New Roman"/>
                <w:color w:val="000000"/>
                <w:lang w:eastAsia="lt-LT"/>
              </w:rPr>
            </w:pPr>
          </w:p>
        </w:tc>
      </w:tr>
      <w:tr w:rsidR="00691623" w:rsidRPr="00B622FE" w:rsidTr="00691623">
        <w:trPr>
          <w:trHeight w:val="543"/>
        </w:trPr>
        <w:tc>
          <w:tcPr>
            <w:tcW w:w="567" w:type="dxa"/>
            <w:tcBorders>
              <w:top w:val="nil"/>
              <w:left w:val="single" w:sz="4" w:space="0" w:color="auto"/>
              <w:bottom w:val="single" w:sz="8" w:space="0" w:color="auto"/>
              <w:right w:val="nil"/>
            </w:tcBorders>
            <w:vAlign w:val="center"/>
          </w:tcPr>
          <w:p w:rsidR="00691623" w:rsidRPr="003240ED" w:rsidRDefault="00691623" w:rsidP="00691623">
            <w:pPr>
              <w:jc w:val="center"/>
              <w:rPr>
                <w:rFonts w:ascii="Arial" w:hAnsi="Arial" w:cs="Arial"/>
              </w:rPr>
            </w:pPr>
            <w:r>
              <w:rPr>
                <w:rFonts w:ascii="Arial" w:hAnsi="Arial"/>
              </w:rPr>
              <w:t>2</w:t>
            </w:r>
          </w:p>
        </w:tc>
        <w:tc>
          <w:tcPr>
            <w:tcW w:w="7956" w:type="dxa"/>
            <w:tcBorders>
              <w:top w:val="nil"/>
              <w:left w:val="single" w:sz="4" w:space="0" w:color="auto"/>
              <w:bottom w:val="single" w:sz="8" w:space="0" w:color="auto"/>
              <w:right w:val="nil"/>
            </w:tcBorders>
            <w:shd w:val="clear" w:color="auto" w:fill="auto"/>
          </w:tcPr>
          <w:p w:rsidR="00691623" w:rsidRPr="003240ED" w:rsidRDefault="00691623" w:rsidP="00691623">
            <w:pPr>
              <w:rPr>
                <w:rFonts w:ascii="Arial" w:hAnsi="Arial" w:cs="Arial"/>
              </w:rPr>
            </w:pPr>
            <w:r>
              <w:rPr>
                <w:rFonts w:ascii="Arial" w:hAnsi="Arial"/>
              </w:rPr>
              <w:t>A completed price schedule with indicated man-hours WITHOUT PRICES. In the absence of such information, the proposal will be withdrawn from further evaluation.</w:t>
            </w:r>
          </w:p>
        </w:tc>
        <w:tc>
          <w:tcPr>
            <w:tcW w:w="1933" w:type="dxa"/>
            <w:tcBorders>
              <w:top w:val="nil"/>
              <w:left w:val="single" w:sz="8" w:space="0" w:color="auto"/>
              <w:bottom w:val="single" w:sz="4" w:space="0" w:color="auto"/>
              <w:right w:val="single" w:sz="8" w:space="0" w:color="auto"/>
            </w:tcBorders>
            <w:shd w:val="clear" w:color="auto" w:fill="auto"/>
            <w:vAlign w:val="bottom"/>
            <w:hideMark/>
          </w:tcPr>
          <w:p w:rsidR="00691623" w:rsidRPr="00B622FE" w:rsidRDefault="00691623" w:rsidP="00691623">
            <w:pPr>
              <w:rPr>
                <w:rFonts w:ascii="Calibri" w:eastAsia="Times New Roman" w:hAnsi="Calibri" w:cs="Times New Roman"/>
                <w:color w:val="000000"/>
              </w:rPr>
            </w:pPr>
            <w:r>
              <w:rPr>
                <w:rFonts w:ascii="Calibri" w:hAnsi="Calibri"/>
                <w:color w:val="000000"/>
              </w:rPr>
              <w:t> </w:t>
            </w:r>
          </w:p>
        </w:tc>
      </w:tr>
      <w:tr w:rsidR="00691623" w:rsidRPr="00B622FE" w:rsidTr="00691623">
        <w:trPr>
          <w:trHeight w:val="513"/>
        </w:trPr>
        <w:tc>
          <w:tcPr>
            <w:tcW w:w="567" w:type="dxa"/>
            <w:tcBorders>
              <w:top w:val="nil"/>
              <w:left w:val="single" w:sz="4" w:space="0" w:color="auto"/>
              <w:bottom w:val="single" w:sz="8" w:space="0" w:color="auto"/>
              <w:right w:val="nil"/>
            </w:tcBorders>
            <w:vAlign w:val="center"/>
          </w:tcPr>
          <w:p w:rsidR="00691623" w:rsidRPr="003240ED" w:rsidRDefault="00691623" w:rsidP="00691623">
            <w:pPr>
              <w:jc w:val="center"/>
              <w:rPr>
                <w:rFonts w:ascii="Arial" w:eastAsia="Times New Roman" w:hAnsi="Arial" w:cs="Arial"/>
              </w:rPr>
            </w:pPr>
            <w:r>
              <w:rPr>
                <w:rFonts w:ascii="Arial" w:hAnsi="Arial"/>
              </w:rPr>
              <w:t>3</w:t>
            </w:r>
          </w:p>
        </w:tc>
        <w:tc>
          <w:tcPr>
            <w:tcW w:w="7956" w:type="dxa"/>
            <w:tcBorders>
              <w:top w:val="nil"/>
              <w:left w:val="single" w:sz="4" w:space="0" w:color="auto"/>
              <w:bottom w:val="single" w:sz="8" w:space="0" w:color="auto"/>
              <w:right w:val="nil"/>
            </w:tcBorders>
            <w:shd w:val="clear" w:color="auto" w:fill="auto"/>
            <w:vAlign w:val="bottom"/>
          </w:tcPr>
          <w:p w:rsidR="00691623" w:rsidRPr="003240ED" w:rsidRDefault="00691623" w:rsidP="00691623">
            <w:pPr>
              <w:rPr>
                <w:rFonts w:ascii="Arial" w:eastAsia="Times New Roman" w:hAnsi="Arial" w:cs="Arial"/>
              </w:rPr>
            </w:pPr>
            <w:r>
              <w:rPr>
                <w:rFonts w:ascii="Arial" w:hAnsi="Arial"/>
              </w:rPr>
              <w:t>Contractor shall submit planned labor resources for each shift. In the absence of such information, the proposal will be withdrawn from further evaluation. Deviation - up to -20% from OL calculations.</w:t>
            </w:r>
          </w:p>
        </w:tc>
        <w:tc>
          <w:tcPr>
            <w:tcW w:w="1933" w:type="dxa"/>
            <w:tcBorders>
              <w:top w:val="nil"/>
              <w:left w:val="single" w:sz="8" w:space="0" w:color="auto"/>
              <w:bottom w:val="single" w:sz="4" w:space="0" w:color="auto"/>
              <w:right w:val="single" w:sz="8" w:space="0" w:color="auto"/>
            </w:tcBorders>
            <w:shd w:val="clear" w:color="auto" w:fill="auto"/>
            <w:vAlign w:val="bottom"/>
            <w:hideMark/>
          </w:tcPr>
          <w:p w:rsidR="00691623" w:rsidRPr="00B622FE" w:rsidRDefault="00691623" w:rsidP="00691623">
            <w:pPr>
              <w:rPr>
                <w:rFonts w:ascii="Calibri" w:eastAsia="Times New Roman" w:hAnsi="Calibri" w:cs="Times New Roman"/>
                <w:color w:val="000000"/>
              </w:rPr>
            </w:pPr>
            <w:r>
              <w:rPr>
                <w:rFonts w:ascii="Calibri" w:hAnsi="Calibri"/>
                <w:color w:val="000000"/>
              </w:rPr>
              <w:t> </w:t>
            </w:r>
          </w:p>
        </w:tc>
      </w:tr>
      <w:tr w:rsidR="00691623" w:rsidRPr="00B622FE" w:rsidTr="00691623">
        <w:trPr>
          <w:trHeight w:val="610"/>
        </w:trPr>
        <w:tc>
          <w:tcPr>
            <w:tcW w:w="567" w:type="dxa"/>
            <w:tcBorders>
              <w:top w:val="nil"/>
              <w:left w:val="single" w:sz="4" w:space="0" w:color="auto"/>
              <w:bottom w:val="single" w:sz="8" w:space="0" w:color="auto"/>
              <w:right w:val="nil"/>
            </w:tcBorders>
            <w:vAlign w:val="center"/>
          </w:tcPr>
          <w:p w:rsidR="00691623" w:rsidRPr="003240ED" w:rsidRDefault="00691623" w:rsidP="00691623">
            <w:pPr>
              <w:jc w:val="center"/>
              <w:rPr>
                <w:rFonts w:ascii="Arial" w:eastAsia="Times New Roman" w:hAnsi="Arial" w:cs="Arial"/>
                <w:color w:val="000000"/>
              </w:rPr>
            </w:pPr>
            <w:r>
              <w:rPr>
                <w:rFonts w:ascii="Arial" w:hAnsi="Arial"/>
                <w:color w:val="000000"/>
              </w:rPr>
              <w:t>4</w:t>
            </w:r>
          </w:p>
        </w:tc>
        <w:tc>
          <w:tcPr>
            <w:tcW w:w="7956" w:type="dxa"/>
            <w:tcBorders>
              <w:top w:val="nil"/>
              <w:left w:val="single" w:sz="4" w:space="0" w:color="auto"/>
              <w:bottom w:val="single" w:sz="8" w:space="0" w:color="auto"/>
              <w:right w:val="nil"/>
            </w:tcBorders>
            <w:shd w:val="clear" w:color="auto" w:fill="auto"/>
            <w:vAlign w:val="bottom"/>
          </w:tcPr>
          <w:p w:rsidR="00691623" w:rsidRPr="003240ED" w:rsidRDefault="00691623" w:rsidP="00691623">
            <w:pPr>
              <w:rPr>
                <w:rFonts w:ascii="Arial" w:eastAsia="Times New Roman" w:hAnsi="Arial" w:cs="Arial"/>
              </w:rPr>
            </w:pPr>
            <w:r>
              <w:rPr>
                <w:rFonts w:ascii="Arial" w:hAnsi="Arial"/>
                <w:color w:val="000000"/>
              </w:rPr>
              <w:t>Work schedule prepared and signed by Contractor with indication of supply terms of materials, preparatory work terms, work execution schedule. Deadlines under the work schedule during shutdown may not exceed those provided by OL.</w:t>
            </w:r>
          </w:p>
        </w:tc>
        <w:tc>
          <w:tcPr>
            <w:tcW w:w="1933" w:type="dxa"/>
            <w:tcBorders>
              <w:top w:val="nil"/>
              <w:left w:val="single" w:sz="8" w:space="0" w:color="auto"/>
              <w:bottom w:val="single" w:sz="4" w:space="0" w:color="auto"/>
              <w:right w:val="single" w:sz="8" w:space="0" w:color="auto"/>
            </w:tcBorders>
            <w:shd w:val="clear" w:color="auto" w:fill="auto"/>
            <w:vAlign w:val="bottom"/>
            <w:hideMark/>
          </w:tcPr>
          <w:p w:rsidR="00691623" w:rsidRPr="00B622FE" w:rsidRDefault="00691623" w:rsidP="00691623">
            <w:pPr>
              <w:rPr>
                <w:rFonts w:ascii="Calibri" w:eastAsia="Times New Roman" w:hAnsi="Calibri" w:cs="Times New Roman"/>
                <w:color w:val="000000"/>
              </w:rPr>
            </w:pPr>
            <w:r>
              <w:rPr>
                <w:rFonts w:ascii="Calibri" w:hAnsi="Calibri"/>
                <w:color w:val="000000"/>
              </w:rPr>
              <w:t> </w:t>
            </w:r>
          </w:p>
        </w:tc>
      </w:tr>
      <w:tr w:rsidR="00691623" w:rsidRPr="00B622FE" w:rsidTr="00691623">
        <w:trPr>
          <w:trHeight w:val="567"/>
        </w:trPr>
        <w:tc>
          <w:tcPr>
            <w:tcW w:w="567" w:type="dxa"/>
            <w:tcBorders>
              <w:top w:val="nil"/>
              <w:left w:val="single" w:sz="4" w:space="0" w:color="auto"/>
              <w:bottom w:val="single" w:sz="8" w:space="0" w:color="auto"/>
              <w:right w:val="nil"/>
            </w:tcBorders>
            <w:vAlign w:val="center"/>
          </w:tcPr>
          <w:p w:rsidR="00691623" w:rsidRDefault="00691623" w:rsidP="00691623">
            <w:pPr>
              <w:jc w:val="center"/>
              <w:rPr>
                <w:rFonts w:ascii="Arial" w:eastAsia="Times New Roman" w:hAnsi="Arial" w:cs="Arial"/>
                <w:lang w:eastAsia="lt-LT"/>
              </w:rPr>
            </w:pPr>
          </w:p>
          <w:p w:rsidR="00691623" w:rsidRPr="003240ED" w:rsidRDefault="00691623" w:rsidP="00691623">
            <w:pPr>
              <w:jc w:val="center"/>
              <w:rPr>
                <w:rFonts w:ascii="Arial" w:eastAsia="Times New Roman" w:hAnsi="Arial" w:cs="Arial"/>
              </w:rPr>
            </w:pPr>
            <w:r>
              <w:rPr>
                <w:rFonts w:ascii="Arial" w:hAnsi="Arial"/>
              </w:rPr>
              <w:t>5</w:t>
            </w:r>
          </w:p>
        </w:tc>
        <w:tc>
          <w:tcPr>
            <w:tcW w:w="7956" w:type="dxa"/>
            <w:tcBorders>
              <w:top w:val="nil"/>
              <w:left w:val="single" w:sz="4" w:space="0" w:color="auto"/>
              <w:bottom w:val="single" w:sz="8" w:space="0" w:color="auto"/>
              <w:right w:val="nil"/>
            </w:tcBorders>
            <w:shd w:val="clear" w:color="auto" w:fill="auto"/>
            <w:vAlign w:val="bottom"/>
          </w:tcPr>
          <w:p w:rsidR="00691623" w:rsidRPr="003240ED" w:rsidRDefault="00691623" w:rsidP="00691623">
            <w:pPr>
              <w:rPr>
                <w:rFonts w:ascii="Arial" w:eastAsia="Times New Roman" w:hAnsi="Arial" w:cs="Arial"/>
                <w:color w:val="000000"/>
              </w:rPr>
            </w:pPr>
            <w:r>
              <w:rPr>
                <w:rFonts w:ascii="Arial" w:hAnsi="Arial"/>
              </w:rPr>
              <w:t>List of subcontractors (if any) and their labor resources planned for execution of the works. The scope of works assigned to subcontractors cannot exceed 30 per cent of the general Contractor's scope. If works assigned to subcontractors exceed 30 percent of the entire scope</w:t>
            </w:r>
            <w:r w:rsidR="00273A6D">
              <w:rPr>
                <w:rFonts w:ascii="Arial" w:hAnsi="Arial"/>
              </w:rPr>
              <w:t>, the</w:t>
            </w:r>
            <w:bookmarkStart w:id="0" w:name="_GoBack"/>
            <w:bookmarkEnd w:id="0"/>
            <w:r>
              <w:rPr>
                <w:rFonts w:ascii="Arial" w:hAnsi="Arial"/>
              </w:rPr>
              <w:t xml:space="preserve"> proposal will be withdrawn from further evaluation.</w:t>
            </w:r>
          </w:p>
        </w:tc>
        <w:tc>
          <w:tcPr>
            <w:tcW w:w="1933" w:type="dxa"/>
            <w:tcBorders>
              <w:top w:val="nil"/>
              <w:left w:val="single" w:sz="8" w:space="0" w:color="auto"/>
              <w:bottom w:val="single" w:sz="4" w:space="0" w:color="auto"/>
              <w:right w:val="single" w:sz="8" w:space="0" w:color="auto"/>
            </w:tcBorders>
            <w:shd w:val="clear" w:color="auto" w:fill="auto"/>
            <w:vAlign w:val="bottom"/>
            <w:hideMark/>
          </w:tcPr>
          <w:p w:rsidR="00691623" w:rsidRPr="00B622FE" w:rsidRDefault="00691623" w:rsidP="00691623">
            <w:pPr>
              <w:rPr>
                <w:rFonts w:ascii="Calibri" w:eastAsia="Times New Roman" w:hAnsi="Calibri" w:cs="Times New Roman"/>
                <w:color w:val="000000"/>
              </w:rPr>
            </w:pPr>
            <w:r>
              <w:rPr>
                <w:rFonts w:ascii="Calibri" w:hAnsi="Calibri"/>
                <w:color w:val="000000"/>
              </w:rPr>
              <w:t> </w:t>
            </w:r>
          </w:p>
        </w:tc>
      </w:tr>
      <w:tr w:rsidR="003231A4" w:rsidRPr="00B622FE" w:rsidTr="00140546">
        <w:trPr>
          <w:trHeight w:val="516"/>
        </w:trPr>
        <w:tc>
          <w:tcPr>
            <w:tcW w:w="567" w:type="dxa"/>
            <w:tcBorders>
              <w:top w:val="nil"/>
              <w:left w:val="single" w:sz="4" w:space="0" w:color="auto"/>
              <w:bottom w:val="single" w:sz="8" w:space="0" w:color="auto"/>
              <w:right w:val="nil"/>
            </w:tcBorders>
            <w:vAlign w:val="center"/>
          </w:tcPr>
          <w:p w:rsidR="003231A4" w:rsidRPr="003240ED" w:rsidRDefault="003231A4" w:rsidP="00140546">
            <w:pPr>
              <w:jc w:val="center"/>
              <w:rPr>
                <w:rFonts w:ascii="Arial" w:eastAsia="Times New Roman" w:hAnsi="Arial" w:cs="Arial"/>
                <w:color w:val="000000"/>
              </w:rPr>
            </w:pPr>
            <w:r>
              <w:rPr>
                <w:rFonts w:ascii="Arial" w:hAnsi="Arial"/>
                <w:color w:val="000000"/>
              </w:rPr>
              <w:t>6</w:t>
            </w:r>
          </w:p>
        </w:tc>
        <w:tc>
          <w:tcPr>
            <w:tcW w:w="7956" w:type="dxa"/>
            <w:tcBorders>
              <w:top w:val="nil"/>
              <w:left w:val="single" w:sz="4" w:space="0" w:color="auto"/>
              <w:bottom w:val="single" w:sz="8" w:space="0" w:color="auto"/>
              <w:right w:val="nil"/>
            </w:tcBorders>
            <w:shd w:val="clear" w:color="auto" w:fill="auto"/>
            <w:vAlign w:val="center"/>
            <w:hideMark/>
          </w:tcPr>
          <w:p w:rsidR="003231A4" w:rsidRPr="003240ED" w:rsidRDefault="003231A4" w:rsidP="003231A4">
            <w:pPr>
              <w:rPr>
                <w:rFonts w:ascii="Arial" w:eastAsia="Times New Roman" w:hAnsi="Arial" w:cs="Arial"/>
                <w:color w:val="000000"/>
              </w:rPr>
            </w:pPr>
            <w:r>
              <w:rPr>
                <w:rFonts w:ascii="Arial" w:hAnsi="Arial"/>
                <w:color w:val="000000"/>
              </w:rPr>
              <w:t xml:space="preserve">List of own/rented vacuum trucks, high-pressure washing and other equipment and tools, including their technical specifications and quantities, suitable for the intended works. </w:t>
            </w:r>
          </w:p>
        </w:tc>
        <w:tc>
          <w:tcPr>
            <w:tcW w:w="1933" w:type="dxa"/>
            <w:tcBorders>
              <w:top w:val="nil"/>
              <w:left w:val="single" w:sz="8" w:space="0" w:color="auto"/>
              <w:bottom w:val="single" w:sz="4" w:space="0" w:color="auto"/>
              <w:right w:val="single" w:sz="8" w:space="0" w:color="auto"/>
            </w:tcBorders>
            <w:shd w:val="clear" w:color="auto" w:fill="auto"/>
            <w:vAlign w:val="bottom"/>
            <w:hideMark/>
          </w:tcPr>
          <w:p w:rsidR="003231A4" w:rsidRPr="00B622FE" w:rsidRDefault="003231A4" w:rsidP="00140546">
            <w:pPr>
              <w:rPr>
                <w:rFonts w:ascii="Calibri" w:eastAsia="Times New Roman" w:hAnsi="Calibri" w:cs="Times New Roman"/>
                <w:color w:val="000000"/>
              </w:rPr>
            </w:pPr>
            <w:r>
              <w:rPr>
                <w:rFonts w:ascii="Calibri" w:hAnsi="Calibri"/>
                <w:color w:val="000000"/>
              </w:rPr>
              <w:t> </w:t>
            </w:r>
          </w:p>
        </w:tc>
      </w:tr>
      <w:tr w:rsidR="00691623" w:rsidRPr="00B622FE" w:rsidTr="00691623">
        <w:trPr>
          <w:trHeight w:val="516"/>
        </w:trPr>
        <w:tc>
          <w:tcPr>
            <w:tcW w:w="567" w:type="dxa"/>
            <w:tcBorders>
              <w:top w:val="nil"/>
              <w:left w:val="single" w:sz="4" w:space="0" w:color="auto"/>
              <w:bottom w:val="single" w:sz="8" w:space="0" w:color="auto"/>
              <w:right w:val="nil"/>
            </w:tcBorders>
            <w:vAlign w:val="center"/>
          </w:tcPr>
          <w:p w:rsidR="00691623" w:rsidRPr="003240ED" w:rsidRDefault="003231A4" w:rsidP="00691623">
            <w:pPr>
              <w:jc w:val="center"/>
              <w:rPr>
                <w:rFonts w:ascii="Arial" w:eastAsia="Times New Roman" w:hAnsi="Arial" w:cs="Arial"/>
                <w:color w:val="000000"/>
              </w:rPr>
            </w:pPr>
            <w:r>
              <w:rPr>
                <w:rFonts w:ascii="Arial" w:hAnsi="Arial"/>
                <w:color w:val="000000"/>
              </w:rPr>
              <w:t>7</w:t>
            </w:r>
          </w:p>
        </w:tc>
        <w:tc>
          <w:tcPr>
            <w:tcW w:w="7956" w:type="dxa"/>
            <w:tcBorders>
              <w:top w:val="nil"/>
              <w:left w:val="single" w:sz="4" w:space="0" w:color="auto"/>
              <w:bottom w:val="single" w:sz="8" w:space="0" w:color="auto"/>
              <w:right w:val="nil"/>
            </w:tcBorders>
            <w:shd w:val="clear" w:color="auto" w:fill="auto"/>
            <w:vAlign w:val="center"/>
            <w:hideMark/>
          </w:tcPr>
          <w:p w:rsidR="00691623" w:rsidRPr="003240ED" w:rsidRDefault="00691623" w:rsidP="00691623">
            <w:pPr>
              <w:rPr>
                <w:rFonts w:ascii="Arial" w:eastAsia="Times New Roman" w:hAnsi="Arial" w:cs="Arial"/>
                <w:color w:val="000000"/>
              </w:rPr>
            </w:pPr>
            <w:r>
              <w:rPr>
                <w:rFonts w:ascii="Arial" w:hAnsi="Arial"/>
                <w:color w:val="000000"/>
              </w:rPr>
              <w:t>List of own/rented hydraulic and/or pneumatic tools, including their technical characteristics and quantities, suitable for the intended works.</w:t>
            </w:r>
          </w:p>
        </w:tc>
        <w:tc>
          <w:tcPr>
            <w:tcW w:w="1933" w:type="dxa"/>
            <w:tcBorders>
              <w:top w:val="nil"/>
              <w:left w:val="single" w:sz="8" w:space="0" w:color="auto"/>
              <w:bottom w:val="single" w:sz="4" w:space="0" w:color="auto"/>
              <w:right w:val="single" w:sz="8" w:space="0" w:color="auto"/>
            </w:tcBorders>
            <w:shd w:val="clear" w:color="auto" w:fill="auto"/>
            <w:vAlign w:val="bottom"/>
            <w:hideMark/>
          </w:tcPr>
          <w:p w:rsidR="00691623" w:rsidRPr="00B622FE" w:rsidRDefault="00691623" w:rsidP="00691623">
            <w:pPr>
              <w:rPr>
                <w:rFonts w:ascii="Calibri" w:eastAsia="Times New Roman" w:hAnsi="Calibri" w:cs="Times New Roman"/>
                <w:color w:val="000000"/>
              </w:rPr>
            </w:pPr>
            <w:r>
              <w:rPr>
                <w:rFonts w:ascii="Calibri" w:hAnsi="Calibri"/>
                <w:color w:val="000000"/>
              </w:rPr>
              <w:t> </w:t>
            </w:r>
          </w:p>
        </w:tc>
      </w:tr>
      <w:tr w:rsidR="00110D44" w:rsidRPr="00B622FE" w:rsidTr="00691623">
        <w:trPr>
          <w:trHeight w:val="639"/>
        </w:trPr>
        <w:tc>
          <w:tcPr>
            <w:tcW w:w="567" w:type="dxa"/>
            <w:tcBorders>
              <w:top w:val="nil"/>
              <w:left w:val="single" w:sz="4" w:space="0" w:color="auto"/>
              <w:bottom w:val="single" w:sz="4" w:space="0" w:color="auto"/>
              <w:right w:val="nil"/>
            </w:tcBorders>
            <w:vAlign w:val="center"/>
          </w:tcPr>
          <w:p w:rsidR="00110D44" w:rsidRPr="003240ED" w:rsidRDefault="003231A4" w:rsidP="00110D44">
            <w:pPr>
              <w:jc w:val="center"/>
              <w:rPr>
                <w:rFonts w:ascii="Arial" w:hAnsi="Arial" w:cs="Arial"/>
              </w:rPr>
            </w:pPr>
            <w:r>
              <w:rPr>
                <w:rFonts w:ascii="Arial" w:hAnsi="Arial"/>
              </w:rPr>
              <w:t>8</w:t>
            </w:r>
          </w:p>
        </w:tc>
        <w:tc>
          <w:tcPr>
            <w:tcW w:w="7956" w:type="dxa"/>
            <w:tcBorders>
              <w:top w:val="nil"/>
              <w:left w:val="single" w:sz="4" w:space="0" w:color="auto"/>
              <w:bottom w:val="single" w:sz="4" w:space="0" w:color="auto"/>
              <w:right w:val="nil"/>
            </w:tcBorders>
            <w:shd w:val="clear" w:color="auto" w:fill="auto"/>
            <w:vAlign w:val="center"/>
            <w:hideMark/>
          </w:tcPr>
          <w:p w:rsidR="00110D44" w:rsidRPr="003240ED" w:rsidRDefault="00110D44" w:rsidP="00110D44">
            <w:pPr>
              <w:rPr>
                <w:rFonts w:ascii="Arial" w:eastAsia="Times New Roman" w:hAnsi="Arial" w:cs="Arial"/>
                <w:color w:val="000000"/>
              </w:rPr>
            </w:pPr>
            <w:r>
              <w:rPr>
                <w:rFonts w:ascii="Arial" w:hAnsi="Arial"/>
              </w:rPr>
              <w:t xml:space="preserve">A list of company welders holding employment contracts (≥3) and information about their qualification, documents confirming welding qualification in accordance with EN ISO 9606-1, welding processes 141 and 111, for steel groups in accordance with the scope of works, for pipes with diameter from 20 mm and ≥ 25 mm, wall thickness from 3 mm to 24 mm.  </w:t>
            </w:r>
          </w:p>
        </w:tc>
        <w:tc>
          <w:tcPr>
            <w:tcW w:w="1933" w:type="dxa"/>
            <w:tcBorders>
              <w:top w:val="nil"/>
              <w:left w:val="single" w:sz="8" w:space="0" w:color="auto"/>
              <w:bottom w:val="single" w:sz="4" w:space="0" w:color="auto"/>
              <w:right w:val="single" w:sz="8" w:space="0" w:color="auto"/>
            </w:tcBorders>
            <w:shd w:val="clear" w:color="auto" w:fill="auto"/>
            <w:vAlign w:val="bottom"/>
            <w:hideMark/>
          </w:tcPr>
          <w:p w:rsidR="00110D44" w:rsidRPr="00B622FE" w:rsidRDefault="00110D44" w:rsidP="00110D44">
            <w:pPr>
              <w:rPr>
                <w:rFonts w:ascii="Calibri" w:eastAsia="Times New Roman" w:hAnsi="Calibri" w:cs="Times New Roman"/>
                <w:color w:val="000000"/>
              </w:rPr>
            </w:pPr>
            <w:r>
              <w:rPr>
                <w:rFonts w:ascii="Calibri" w:hAnsi="Calibri"/>
                <w:color w:val="000000"/>
              </w:rPr>
              <w:t> </w:t>
            </w:r>
          </w:p>
        </w:tc>
      </w:tr>
      <w:tr w:rsidR="00110D44" w:rsidRPr="00B622FE" w:rsidTr="00691623">
        <w:trPr>
          <w:trHeight w:val="639"/>
        </w:trPr>
        <w:tc>
          <w:tcPr>
            <w:tcW w:w="567" w:type="dxa"/>
            <w:tcBorders>
              <w:top w:val="single" w:sz="4" w:space="0" w:color="auto"/>
              <w:left w:val="single" w:sz="4" w:space="0" w:color="auto"/>
              <w:bottom w:val="single" w:sz="4" w:space="0" w:color="auto"/>
              <w:right w:val="nil"/>
            </w:tcBorders>
            <w:vAlign w:val="center"/>
          </w:tcPr>
          <w:p w:rsidR="00110D44" w:rsidRPr="003240ED" w:rsidRDefault="003231A4" w:rsidP="00110D44">
            <w:pPr>
              <w:jc w:val="center"/>
              <w:rPr>
                <w:rFonts w:ascii="Arial" w:hAnsi="Arial" w:cs="Arial"/>
              </w:rPr>
            </w:pPr>
            <w:r>
              <w:rPr>
                <w:rFonts w:ascii="Arial" w:hAnsi="Arial"/>
              </w:rPr>
              <w:t>9</w:t>
            </w:r>
          </w:p>
        </w:tc>
        <w:tc>
          <w:tcPr>
            <w:tcW w:w="7956" w:type="dxa"/>
            <w:tcBorders>
              <w:top w:val="single" w:sz="4" w:space="0" w:color="auto"/>
              <w:left w:val="single" w:sz="4" w:space="0" w:color="auto"/>
              <w:bottom w:val="single" w:sz="4" w:space="0" w:color="auto"/>
              <w:right w:val="nil"/>
            </w:tcBorders>
            <w:shd w:val="clear" w:color="auto" w:fill="auto"/>
          </w:tcPr>
          <w:p w:rsidR="00110D44" w:rsidRPr="003240ED" w:rsidRDefault="00110D44" w:rsidP="00110D44">
            <w:pPr>
              <w:rPr>
                <w:rFonts w:ascii="Arial" w:hAnsi="Arial" w:cs="Arial"/>
              </w:rPr>
            </w:pPr>
            <w:r>
              <w:rPr>
                <w:rFonts w:ascii="Arial" w:hAnsi="Arial"/>
              </w:rPr>
              <w:t>A list of company welding procedure qualification records (WPQR): process 141 and 111, for steel groups indicated in the scope of works, for pipes with diameter from 20 mm and ≥ 25 mm, wall thickness from 3 mm to 24 mm.</w:t>
            </w:r>
          </w:p>
        </w:tc>
        <w:tc>
          <w:tcPr>
            <w:tcW w:w="1933" w:type="dxa"/>
            <w:tcBorders>
              <w:top w:val="single" w:sz="4" w:space="0" w:color="auto"/>
              <w:left w:val="single" w:sz="8" w:space="0" w:color="auto"/>
              <w:bottom w:val="single" w:sz="4" w:space="0" w:color="auto"/>
              <w:right w:val="single" w:sz="8" w:space="0" w:color="auto"/>
            </w:tcBorders>
            <w:shd w:val="clear" w:color="auto" w:fill="auto"/>
            <w:vAlign w:val="bottom"/>
          </w:tcPr>
          <w:p w:rsidR="00110D44" w:rsidRPr="00B622FE" w:rsidRDefault="00110D44" w:rsidP="00110D44">
            <w:pPr>
              <w:rPr>
                <w:rFonts w:ascii="Calibri" w:eastAsia="Times New Roman" w:hAnsi="Calibri" w:cs="Times New Roman"/>
                <w:color w:val="000000"/>
                <w:lang w:eastAsia="lt-LT"/>
              </w:rPr>
            </w:pPr>
          </w:p>
        </w:tc>
      </w:tr>
    </w:tbl>
    <w:p w:rsidR="006042F4" w:rsidRDefault="006042F4"/>
    <w:p w:rsidR="00DC3E60" w:rsidRDefault="00DC3E60"/>
    <w:sectPr w:rsidR="00DC3E60" w:rsidSect="00691623">
      <w:pgSz w:w="11906" w:h="16838"/>
      <w:pgMar w:top="720" w:right="720" w:bottom="720" w:left="72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3DD"/>
    <w:rsid w:val="00016E36"/>
    <w:rsid w:val="00110D44"/>
    <w:rsid w:val="00141913"/>
    <w:rsid w:val="00273A6D"/>
    <w:rsid w:val="002E1F4E"/>
    <w:rsid w:val="003231A4"/>
    <w:rsid w:val="003240ED"/>
    <w:rsid w:val="003A7926"/>
    <w:rsid w:val="004658AB"/>
    <w:rsid w:val="006042F4"/>
    <w:rsid w:val="00691623"/>
    <w:rsid w:val="007E1EA7"/>
    <w:rsid w:val="0087597E"/>
    <w:rsid w:val="008D03DD"/>
    <w:rsid w:val="00D06D69"/>
    <w:rsid w:val="00DC3E60"/>
    <w:rsid w:val="00DD1BDA"/>
    <w:rsid w:val="00DF5A8C"/>
    <w:rsid w:val="00FB386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145A48-89E1-42F1-BBED-E4B18B012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03DD"/>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355</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Buldakov</dc:creator>
  <cp:keywords/>
  <dc:description/>
  <cp:lastModifiedBy>Vaida Latakienė</cp:lastModifiedBy>
  <cp:revision>3</cp:revision>
  <dcterms:created xsi:type="dcterms:W3CDTF">2025-06-03T11:16:00Z</dcterms:created>
  <dcterms:modified xsi:type="dcterms:W3CDTF">2025-06-04T04:47:00Z</dcterms:modified>
</cp:coreProperties>
</file>