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9F6" w:rsidRDefault="00982FC8" w:rsidP="00982FC8">
      <w:pPr>
        <w:spacing w:after="0" w:line="240" w:lineRule="auto"/>
        <w:jc w:val="right"/>
        <w:rPr>
          <w:noProof/>
          <w:lang w:eastAsia="pl-PL"/>
        </w:rPr>
      </w:pPr>
      <w:r>
        <w:rPr>
          <w:noProof/>
          <w:lang w:eastAsia="pl-PL"/>
        </w:rPr>
        <w:t>Załącznik nr 18</w:t>
      </w:r>
    </w:p>
    <w:p w:rsidR="008669F6" w:rsidRDefault="008669F6" w:rsidP="008669F6">
      <w:pPr>
        <w:spacing w:after="0" w:line="240" w:lineRule="auto"/>
        <w:jc w:val="center"/>
        <w:rPr>
          <w:noProof/>
          <w:lang w:eastAsia="pl-PL"/>
        </w:rPr>
      </w:pPr>
      <w:bookmarkStart w:id="0" w:name="_GoBack"/>
      <w:bookmarkEnd w:id="0"/>
    </w:p>
    <w:p w:rsidR="008669F6" w:rsidRDefault="008669F6" w:rsidP="009B2705">
      <w:pPr>
        <w:spacing w:after="0" w:line="240" w:lineRule="auto"/>
        <w:rPr>
          <w:noProof/>
          <w:lang w:eastAsia="pl-PL"/>
        </w:rPr>
      </w:pPr>
    </w:p>
    <w:p w:rsidR="008669F6" w:rsidRDefault="008669F6" w:rsidP="008669F6">
      <w:pPr>
        <w:spacing w:after="0" w:line="240" w:lineRule="auto"/>
        <w:jc w:val="center"/>
        <w:rPr>
          <w:noProof/>
          <w:lang w:eastAsia="pl-PL"/>
        </w:rPr>
      </w:pPr>
    </w:p>
    <w:p w:rsidR="008669F6" w:rsidRDefault="008669F6" w:rsidP="008669F6">
      <w:pPr>
        <w:spacing w:after="0" w:line="240" w:lineRule="auto"/>
        <w:jc w:val="center"/>
        <w:rPr>
          <w:noProof/>
          <w:lang w:eastAsia="pl-PL"/>
        </w:rPr>
      </w:pPr>
      <w:r>
        <w:rPr>
          <w:noProof/>
          <w:lang w:eastAsia="pl-PL"/>
        </w:rPr>
        <w:drawing>
          <wp:inline distT="0" distB="0" distL="0" distR="0" wp14:anchorId="39C67AFB" wp14:editId="0E68B3F9">
            <wp:extent cx="740588" cy="740588"/>
            <wp:effectExtent l="0" t="0" r="254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6457" cy="746457"/>
                    </a:xfrm>
                    <a:prstGeom prst="rect">
                      <a:avLst/>
                    </a:prstGeom>
                    <a:noFill/>
                    <a:ln>
                      <a:noFill/>
                    </a:ln>
                  </pic:spPr>
                </pic:pic>
              </a:graphicData>
            </a:graphic>
          </wp:inline>
        </w:drawing>
      </w:r>
    </w:p>
    <w:p w:rsidR="008669F6" w:rsidRDefault="008669F6" w:rsidP="008669F6">
      <w:pPr>
        <w:spacing w:after="0" w:line="240" w:lineRule="auto"/>
        <w:jc w:val="center"/>
        <w:rPr>
          <w:noProof/>
          <w:lang w:eastAsia="pl-PL"/>
        </w:rPr>
      </w:pPr>
    </w:p>
    <w:p w:rsidR="008669F6" w:rsidRDefault="008669F6" w:rsidP="008669F6">
      <w:pPr>
        <w:spacing w:after="0" w:line="240" w:lineRule="auto"/>
        <w:jc w:val="center"/>
        <w:rPr>
          <w:noProof/>
          <w:lang w:eastAsia="pl-PL"/>
        </w:rPr>
      </w:pPr>
    </w:p>
    <w:p w:rsidR="008669F6" w:rsidRDefault="008669F6" w:rsidP="008669F6">
      <w:pPr>
        <w:spacing w:after="0" w:line="240" w:lineRule="auto"/>
        <w:jc w:val="center"/>
        <w:rPr>
          <w:noProof/>
          <w:lang w:eastAsia="pl-PL"/>
        </w:rPr>
      </w:pPr>
    </w:p>
    <w:p w:rsidR="008669F6" w:rsidRPr="00873809" w:rsidRDefault="008669F6" w:rsidP="008669F6">
      <w:pPr>
        <w:spacing w:after="0"/>
        <w:jc w:val="center"/>
        <w:rPr>
          <w:rFonts w:ascii="Arial" w:eastAsia="Times New Roman" w:hAnsi="Arial" w:cs="Arial"/>
          <w:b/>
          <w:color w:val="000000"/>
          <w:sz w:val="20"/>
          <w:szCs w:val="20"/>
          <w:lang w:eastAsia="pl-PL"/>
        </w:rPr>
      </w:pPr>
    </w:p>
    <w:p w:rsidR="008669F6" w:rsidRDefault="00A26815" w:rsidP="00A26815">
      <w:pPr>
        <w:spacing w:after="0"/>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„Ochrona Informacji”</w:t>
      </w:r>
    </w:p>
    <w:p w:rsidR="00A26815" w:rsidRPr="00BA4010" w:rsidRDefault="00A26815" w:rsidP="00A26815">
      <w:pPr>
        <w:spacing w:after="0"/>
        <w:jc w:val="center"/>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b/>
          <w:color w:val="000000"/>
          <w:sz w:val="20"/>
          <w:szCs w:val="20"/>
          <w:lang w:eastAsia="pl-PL"/>
        </w:rPr>
      </w:pPr>
      <w:r w:rsidRPr="00DA699D">
        <w:rPr>
          <w:rFonts w:ascii="Arial" w:eastAsia="Times New Roman" w:hAnsi="Arial" w:cs="Arial"/>
          <w:b/>
          <w:color w:val="000000"/>
          <w:sz w:val="20"/>
          <w:szCs w:val="20"/>
          <w:lang w:eastAsia="pl-PL"/>
        </w:rPr>
        <w:t>I.  Tajemnica Przedsiębiorstwa</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DA699D">
        <w:rPr>
          <w:rFonts w:ascii="Arial" w:eastAsia="Times New Roman" w:hAnsi="Arial" w:cs="Arial"/>
          <w:i/>
          <w:iCs/>
          <w:color w:val="000000"/>
          <w:sz w:val="20"/>
          <w:szCs w:val="20"/>
          <w:lang w:eastAsia="pl-PL"/>
        </w:rPr>
        <w:t xml:space="preserve"> </w:t>
      </w:r>
      <w:r w:rsidRPr="00DA699D">
        <w:rPr>
          <w:rFonts w:ascii="Arial" w:eastAsia="Times New Roman" w:hAnsi="Arial" w:cs="Arial"/>
          <w:color w:val="000000"/>
          <w:sz w:val="20"/>
          <w:szCs w:val="20"/>
          <w:lang w:eastAsia="pl-PL"/>
        </w:rPr>
        <w:t>podmiot</w:t>
      </w:r>
      <w:r w:rsidRPr="00DA699D">
        <w:rPr>
          <w:rFonts w:ascii="Arial" w:eastAsia="Times New Roman" w:hAnsi="Arial" w:cs="Arial"/>
          <w:i/>
          <w:iCs/>
          <w:color w:val="000000"/>
          <w:sz w:val="20"/>
          <w:szCs w:val="20"/>
          <w:lang w:eastAsia="pl-PL"/>
        </w:rPr>
        <w:t xml:space="preserve"> </w:t>
      </w:r>
      <w:r w:rsidRPr="00DA699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t>
      </w:r>
      <w:r w:rsidRPr="00DA699D">
        <w:rPr>
          <w:rFonts w:ascii="Arial" w:eastAsia="Times New Roman" w:hAnsi="Arial" w:cs="Arial"/>
          <w:color w:val="000000"/>
          <w:sz w:val="20"/>
          <w:szCs w:val="20"/>
          <w:lang w:eastAsia="pl-PL"/>
        </w:rPr>
        <w:lastRenderedPageBreak/>
        <w:t>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odpowiedzialność o której mowa w ust. 8. </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8</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w:t>
      </w:r>
      <w:r w:rsidRPr="00DA699D">
        <w:rPr>
          <w:rFonts w:ascii="Arial" w:eastAsia="Times New Roman" w:hAnsi="Arial" w:cs="Arial"/>
          <w:color w:val="000000"/>
          <w:sz w:val="20"/>
          <w:szCs w:val="20"/>
          <w:lang w:eastAsia="pl-PL"/>
        </w:rPr>
        <w:lastRenderedPageBreak/>
        <w:t>innych sankcji i uprawnień Zleceniodawcy określonych w przepisach prawa, w tym w ustawie z dnia 16 kwietnia 1993 roku o zwalczaniu nieuczciwej konkurencji.</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stosowania zasad i warunków ochrony Tajemnicy Spółki ANWIL S.A. określonych w punkcie II. </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8669F6" w:rsidRPr="00DA699D" w:rsidRDefault="008669F6" w:rsidP="008669F6">
      <w:pPr>
        <w:spacing w:after="0"/>
        <w:jc w:val="both"/>
        <w:rPr>
          <w:rFonts w:ascii="Arial" w:eastAsia="Times New Roman" w:hAnsi="Arial" w:cs="Arial"/>
          <w:sz w:val="20"/>
          <w:szCs w:val="20"/>
          <w:lang w:eastAsia="pl-PL"/>
        </w:rPr>
      </w:pPr>
    </w:p>
    <w:p w:rsidR="008669F6" w:rsidRPr="00DA699D" w:rsidRDefault="008669F6" w:rsidP="008669F6">
      <w:pPr>
        <w:spacing w:after="0"/>
        <w:jc w:val="both"/>
        <w:rPr>
          <w:rFonts w:ascii="Arial" w:eastAsia="Times New Roman" w:hAnsi="Arial" w:cs="Arial"/>
          <w:b/>
          <w:color w:val="000000"/>
          <w:sz w:val="20"/>
          <w:szCs w:val="20"/>
          <w:lang w:eastAsia="pl-PL"/>
        </w:rPr>
      </w:pPr>
      <w:r w:rsidRPr="00DA699D">
        <w:rPr>
          <w:rFonts w:ascii="Arial" w:eastAsia="Times New Roman" w:hAnsi="Arial" w:cs="Arial"/>
          <w:b/>
          <w:color w:val="000000"/>
          <w:sz w:val="20"/>
          <w:szCs w:val="20"/>
          <w:lang w:eastAsia="pl-PL"/>
        </w:rPr>
        <w:t>II. Tajemnica Spółki ANWIL S.A.</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lastRenderedPageBreak/>
        <w:t xml:space="preserve">Zleceniobiorca nie jest uprawniony do kopiowania materiałów przekazanych przez Zleceniodawcę i zawierających Tajemnicę Spółki ANWIL S.A., bez uprzedniego uzyskania uprzedniej pisemnej zgody Zleceniodawcy. </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nie jest uprawniony do oznaczania materiałów zawierających Tajemnicę Spółki ANWIL S.A. innymi niż „TAJEMNICA SPÓŁKI ANWIL S.A.” klauzulami lub oznaczeniami. </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przypadkach konieczności wymiany materiałów zawierających Tajemnicę Przedsiębiorstwa, w tym Tajemnicę Spółki ANWIL S.A. w formie elektronicznej zastosowanie znajdują zasady postępowania określone w Załączniku nr 3.</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r w:rsidRPr="00DA699D">
        <w:rPr>
          <w:rFonts w:ascii="Arial" w:eastAsia="Times New Roman" w:hAnsi="Arial" w:cs="Arial"/>
          <w:i/>
          <w:iCs/>
          <w:color w:val="000000"/>
          <w:sz w:val="20"/>
          <w:szCs w:val="20"/>
          <w:lang w:eastAsia="pl-PL"/>
        </w:rPr>
        <w:t> </w:t>
      </w:r>
    </w:p>
    <w:p w:rsidR="008669F6" w:rsidRPr="00C46C43" w:rsidRDefault="008669F6" w:rsidP="008669F6">
      <w:pPr>
        <w:spacing w:after="0"/>
        <w:jc w:val="both"/>
        <w:rPr>
          <w:rFonts w:ascii="Arial" w:eastAsia="Times New Roman" w:hAnsi="Arial" w:cs="Arial"/>
          <w:b/>
          <w:i/>
          <w:iCs/>
          <w:color w:val="000000"/>
          <w:sz w:val="20"/>
          <w:szCs w:val="20"/>
          <w:highlight w:val="yellow"/>
          <w:lang w:eastAsia="pl-PL"/>
        </w:rPr>
      </w:pPr>
    </w:p>
    <w:p w:rsidR="008669F6" w:rsidRPr="00DA699D" w:rsidRDefault="008669F6" w:rsidP="008669F6">
      <w:pPr>
        <w:spacing w:after="0"/>
        <w:jc w:val="both"/>
        <w:rPr>
          <w:rFonts w:ascii="Arial" w:eastAsia="Times New Roman" w:hAnsi="Arial" w:cs="Arial"/>
          <w:b/>
          <w:color w:val="000000"/>
          <w:sz w:val="20"/>
          <w:szCs w:val="20"/>
          <w:lang w:eastAsia="pl-PL"/>
        </w:rPr>
      </w:pPr>
      <w:r w:rsidRPr="00C46C43">
        <w:rPr>
          <w:rFonts w:ascii="Arial" w:eastAsia="Times New Roman" w:hAnsi="Arial" w:cs="Arial"/>
          <w:b/>
          <w:i/>
          <w:iCs/>
          <w:color w:val="000000"/>
          <w:sz w:val="20"/>
          <w:szCs w:val="20"/>
          <w:highlight w:val="yellow"/>
          <w:lang w:eastAsia="pl-PL"/>
        </w:rPr>
        <w:br w:type="page"/>
      </w:r>
      <w:r w:rsidRPr="00DA699D">
        <w:rPr>
          <w:rFonts w:ascii="Arial" w:eastAsia="Times New Roman" w:hAnsi="Arial" w:cs="Arial"/>
          <w:b/>
          <w:iCs/>
          <w:color w:val="000000"/>
          <w:sz w:val="20"/>
          <w:szCs w:val="20"/>
          <w:lang w:eastAsia="pl-PL"/>
        </w:rPr>
        <w:lastRenderedPageBreak/>
        <w:t xml:space="preserve">Załącznik nr 1 </w:t>
      </w:r>
      <w:r w:rsidRPr="00DA699D">
        <w:rPr>
          <w:rFonts w:ascii="Arial" w:eastAsia="Times New Roman" w:hAnsi="Arial" w:cs="Arial"/>
          <w:iCs/>
          <w:color w:val="000000"/>
          <w:sz w:val="20"/>
          <w:szCs w:val="20"/>
          <w:lang w:eastAsia="pl-PL"/>
        </w:rPr>
        <w:t>Wykaz osób, które będą miały dostęp do Tajemnicy Przedsiębiorstwa, w tym Tajemnicy Spółki ANWIL S.A</w:t>
      </w: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WYKAZ  OSÓB*</w:t>
      </w:r>
    </w:p>
    <w:p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8669F6" w:rsidRPr="00DA699D" w:rsidTr="00FE09DE">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p>
          <w:p w:rsidR="008669F6" w:rsidRPr="00DA699D" w:rsidRDefault="008669F6" w:rsidP="00FE09DE">
            <w:pPr>
              <w:suppressAutoHyphens/>
              <w:spacing w:after="0" w:line="240" w:lineRule="auto"/>
              <w:jc w:val="center"/>
              <w:rPr>
                <w:rFonts w:ascii="Arial" w:hAnsi="Arial" w:cs="Arial"/>
              </w:rPr>
            </w:pPr>
            <w:r w:rsidRPr="00DA699D">
              <w:rPr>
                <w:rFonts w:ascii="Arial" w:hAnsi="Arial" w:cs="Arial"/>
                <w:b/>
              </w:rPr>
              <w:t>Dotyczy realizacji umowy nr</w:t>
            </w:r>
            <w:r w:rsidRPr="00DA699D">
              <w:rPr>
                <w:rFonts w:ascii="Arial" w:hAnsi="Arial" w:cs="Arial"/>
              </w:rPr>
              <w:t xml:space="preserve"> ________________ </w:t>
            </w:r>
            <w:r w:rsidRPr="00DA699D">
              <w:rPr>
                <w:rFonts w:ascii="Arial" w:hAnsi="Arial" w:cs="Arial"/>
                <w:b/>
              </w:rPr>
              <w:t xml:space="preserve">z dnia </w:t>
            </w:r>
            <w:r w:rsidRPr="00DA699D">
              <w:rPr>
                <w:rFonts w:ascii="Arial" w:hAnsi="Arial" w:cs="Arial"/>
              </w:rPr>
              <w:t xml:space="preserve"> ____________________</w:t>
            </w:r>
          </w:p>
          <w:p w:rsidR="008669F6" w:rsidRPr="00DA699D" w:rsidRDefault="008669F6" w:rsidP="00FE09DE">
            <w:pPr>
              <w:suppressAutoHyphens/>
              <w:spacing w:after="0" w:line="240" w:lineRule="auto"/>
              <w:jc w:val="center"/>
              <w:rPr>
                <w:rFonts w:ascii="Arial" w:hAnsi="Arial" w:cs="Arial"/>
                <w:b/>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lang w:val="it-IT"/>
              </w:rPr>
            </w:pPr>
            <w:r w:rsidRPr="00DA699D">
              <w:rPr>
                <w:rFonts w:ascii="Arial" w:hAnsi="Arial" w:cs="Arial"/>
                <w:b/>
                <w:lang w:val="it-IT"/>
              </w:rPr>
              <w:t xml:space="preserve">Stanowisko </w:t>
            </w:r>
            <w:r w:rsidRPr="00DA699D">
              <w:rPr>
                <w:rFonts w:ascii="Arial" w:hAnsi="Arial" w:cs="Arial"/>
                <w:b/>
              </w:rPr>
              <w:t>osoby składającej oświadczenie</w:t>
            </w:r>
            <w:r w:rsidRPr="00DA699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Data przeszkolenia/ zapoznania się z zasadami ochrony informacji</w:t>
            </w: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6</w:t>
            </w: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r w:rsidR="008669F6" w:rsidRPr="00DA699D"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p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8669F6" w:rsidRPr="00DA699D" w:rsidRDefault="008669F6" w:rsidP="00FE09DE">
            <w:pPr>
              <w:suppressAutoHyphens/>
              <w:spacing w:after="0" w:line="240" w:lineRule="auto"/>
              <w:jc w:val="center"/>
              <w:rPr>
                <w:rFonts w:ascii="Arial" w:hAnsi="Arial" w:cs="Arial"/>
              </w:rPr>
            </w:pPr>
          </w:p>
        </w:tc>
      </w:tr>
    </w:tbl>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 </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rsidR="008669F6" w:rsidRPr="00DA699D" w:rsidRDefault="008669F6" w:rsidP="008669F6">
      <w:pPr>
        <w:spacing w:after="0"/>
        <w:jc w:val="both"/>
        <w:rPr>
          <w:rFonts w:ascii="Arial" w:eastAsia="Times New Roman" w:hAnsi="Arial" w:cs="Arial"/>
          <w:i/>
          <w:iCs/>
          <w:color w:val="000000"/>
          <w:sz w:val="16"/>
          <w:szCs w:val="16"/>
          <w:lang w:eastAsia="pl-PL"/>
        </w:rPr>
      </w:pP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 dotyczy osób zatrudnionych na umowę o pracę</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Data i podpis przedstawiciela podmiotu </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odpowiedzialnego za realizację Umowy z ANWIL S.A.</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u w:val="single"/>
          <w:lang w:eastAsia="pl-PL"/>
        </w:rPr>
        <w:t>Otrzymują:</w:t>
      </w:r>
    </w:p>
    <w:p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komórka organizacyjna ANWIL S.A. odpowiedzialna za realizację umowy (oryginał)</w:t>
      </w:r>
    </w:p>
    <w:p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Podmiot zewnętrzny realizujący umowę z ANWIL S.A. (oryginał)</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snapToGrid w:val="0"/>
          <w:color w:val="000000"/>
          <w:sz w:val="20"/>
          <w:szCs w:val="20"/>
          <w:lang w:eastAsia="pl-PL"/>
        </w:rPr>
        <w:br w:type="page"/>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b/>
          <w:bCs/>
          <w:iCs/>
          <w:color w:val="000000"/>
          <w:sz w:val="20"/>
          <w:szCs w:val="20"/>
          <w:lang w:eastAsia="pl-PL"/>
        </w:rPr>
        <w:lastRenderedPageBreak/>
        <w:t xml:space="preserve">Załącznik nr 2 </w:t>
      </w:r>
      <w:r w:rsidRPr="00DA699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right"/>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right"/>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   (miejscowość, data) </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(nazwisko i imię osoby składającej oświadczenie)</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(nazwa i adres siedziby podmiotu, w którym zatrudniona </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 jest osoba składająca oświadczenie </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lub na rzecz którego świadczy usługi)</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(zajmowane stanowisko osoby składającej oświadczenie*)</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O Ś W I A D C Z E N I E</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(podpis osoby składającej oświadczenie)</w:t>
      </w: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20"/>
          <w:szCs w:val="20"/>
          <w:lang w:eastAsia="pl-PL"/>
        </w:rPr>
      </w:pP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u w:val="single"/>
          <w:lang w:eastAsia="pl-PL"/>
        </w:rPr>
        <w:t>Rozdzielnik:</w:t>
      </w:r>
    </w:p>
    <w:p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Osoba składająca oświadczenie (oryginał)</w:t>
      </w:r>
    </w:p>
    <w:p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komórka organizacyjna ANWIL S.A. odpowiedzialna za realizację ww. umowy (oryginał)</w:t>
      </w:r>
    </w:p>
    <w:p w:rsidR="008669F6" w:rsidRPr="00DA699D" w:rsidRDefault="008669F6" w:rsidP="008669F6">
      <w:pPr>
        <w:spacing w:after="0" w:line="240" w:lineRule="auto"/>
        <w:rPr>
          <w:rFonts w:ascii="Arial" w:hAnsi="Arial" w:cs="Arial"/>
          <w:sz w:val="16"/>
          <w:szCs w:val="16"/>
        </w:rPr>
      </w:pP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w:t>
      </w:r>
      <w:r w:rsidRPr="00DA699D">
        <w:rPr>
          <w:rFonts w:ascii="Arial" w:eastAsia="Times New Roman" w:hAnsi="Arial" w:cs="Arial"/>
          <w:i/>
          <w:iCs/>
          <w:color w:val="000000"/>
          <w:sz w:val="16"/>
          <w:szCs w:val="16"/>
          <w:lang w:eastAsia="pl-PL"/>
        </w:rPr>
        <w:t>* dotyczy osób zatrudnionych na podstawie umowy o pracę</w:t>
      </w:r>
    </w:p>
    <w:p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8669F6" w:rsidRPr="00DA699D" w:rsidRDefault="00037922" w:rsidP="008669F6">
      <w:pPr>
        <w:spacing w:after="0"/>
        <w:jc w:val="both"/>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v:rect id="_x0000_i1025" style="width:149.7pt;height:.5pt" o:hrpct="330" o:hrstd="t" o:hr="t" fillcolor="#a0a0a0" stroked="f"/>
        </w:pict>
      </w: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rsidR="00FF6DDD" w:rsidRDefault="00FF6DDD" w:rsidP="008669F6">
      <w:pPr>
        <w:spacing w:after="0"/>
        <w:contextualSpacing/>
        <w:jc w:val="both"/>
        <w:rPr>
          <w:rFonts w:ascii="Arial" w:eastAsia="Times New Roman" w:hAnsi="Arial" w:cs="Arial"/>
          <w:b/>
          <w:bCs/>
          <w:iCs/>
          <w:color w:val="000000"/>
          <w:sz w:val="20"/>
          <w:szCs w:val="20"/>
          <w:lang w:eastAsia="pl-PL"/>
        </w:rPr>
      </w:pPr>
    </w:p>
    <w:p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r w:rsidRPr="00DA699D">
        <w:rPr>
          <w:rFonts w:ascii="Arial" w:eastAsia="Times New Roman" w:hAnsi="Arial" w:cs="Arial"/>
          <w:b/>
          <w:bCs/>
          <w:iCs/>
          <w:color w:val="000000"/>
          <w:sz w:val="20"/>
          <w:szCs w:val="20"/>
          <w:lang w:eastAsia="pl-PL"/>
        </w:rPr>
        <w:t>Załącznik nr 3</w:t>
      </w:r>
    </w:p>
    <w:p w:rsidR="008669F6" w:rsidRPr="00DA699D" w:rsidRDefault="008669F6" w:rsidP="008669F6">
      <w:pPr>
        <w:spacing w:after="0"/>
        <w:contextualSpacing/>
        <w:jc w:val="both"/>
        <w:rPr>
          <w:rFonts w:ascii="Arial" w:eastAsia="Times New Roman" w:hAnsi="Arial" w:cs="Arial"/>
          <w:color w:val="000000"/>
          <w:sz w:val="20"/>
          <w:szCs w:val="20"/>
          <w:lang w:eastAsia="pl-PL"/>
        </w:rPr>
      </w:pPr>
    </w:p>
    <w:p w:rsidR="008669F6" w:rsidRPr="00DA699D" w:rsidRDefault="008669F6" w:rsidP="008669F6">
      <w:pPr>
        <w:tabs>
          <w:tab w:val="center" w:pos="4536"/>
          <w:tab w:val="left" w:pos="5340"/>
        </w:tabs>
        <w:suppressAutoHyphens/>
        <w:spacing w:after="0"/>
        <w:jc w:val="center"/>
        <w:rPr>
          <w:rFonts w:ascii="Arial" w:hAnsi="Arial" w:cs="Arial"/>
          <w:b/>
          <w:sz w:val="20"/>
          <w:szCs w:val="20"/>
        </w:rPr>
      </w:pPr>
      <w:r w:rsidRPr="00DA699D">
        <w:rPr>
          <w:rFonts w:ascii="Arial" w:hAnsi="Arial" w:cs="Arial"/>
          <w:b/>
          <w:sz w:val="20"/>
          <w:szCs w:val="20"/>
        </w:rPr>
        <w:t>ZASADY POSTĘPOWANIA W ZAKRESIE WYMIANY INFORMACJI STANOWIĄCYCH TAJEMNICĘ PRZEDSIĘBIORSTWA, W TYM TAJEMNICĘ SPÓŁKI ANWIL S.A. W FORMIE ELEKTRONICZNEJ</w:t>
      </w:r>
    </w:p>
    <w:p w:rsidR="008669F6" w:rsidRPr="00DA699D" w:rsidRDefault="008669F6" w:rsidP="008669F6">
      <w:pPr>
        <w:tabs>
          <w:tab w:val="center" w:pos="4536"/>
          <w:tab w:val="left" w:pos="5340"/>
        </w:tabs>
        <w:suppressAutoHyphens/>
        <w:spacing w:after="0"/>
        <w:jc w:val="center"/>
        <w:rPr>
          <w:rFonts w:ascii="Arial" w:hAnsi="Arial" w:cs="Arial"/>
          <w:b/>
          <w:sz w:val="20"/>
          <w:szCs w:val="20"/>
        </w:rPr>
      </w:pPr>
    </w:p>
    <w:p w:rsidR="008669F6" w:rsidRPr="00DA699D" w:rsidRDefault="008669F6" w:rsidP="008669F6">
      <w:pPr>
        <w:numPr>
          <w:ilvl w:val="0"/>
          <w:numId w:val="1"/>
        </w:numPr>
        <w:suppressAutoHyphens/>
        <w:spacing w:after="0" w:line="259" w:lineRule="auto"/>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1.1</w:t>
      </w:r>
      <w:r w:rsidRPr="00DA699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1.2</w:t>
      </w:r>
      <w:r w:rsidRPr="00DA699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1.3</w:t>
      </w:r>
      <w:r w:rsidRPr="00DA699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1.4</w:t>
      </w:r>
      <w:r w:rsidRPr="00DA699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8669F6" w:rsidRPr="00DA699D" w:rsidRDefault="008669F6" w:rsidP="008669F6">
      <w:pPr>
        <w:numPr>
          <w:ilvl w:val="0"/>
          <w:numId w:val="1"/>
        </w:numPr>
        <w:suppressAutoHyphens/>
        <w:spacing w:after="0" w:line="259" w:lineRule="auto"/>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Wymiana elektronicznych nośników informacji odbywa się pomiędzy upoważnionymi osobami reprezentującymi Strony niniejszej Umowy.</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Odbiorca potwierdza nadawcy fakt otrzymania nośnika z zaszyfrowanym plikiem. </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Nadawca przekazuje hasło zabezpieczające (klucz szyfrujący) odbiorcy z zachowaniem zasady nieujawniania hasła osobom nieuprawnionym.</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Nadawca odpowiada za właściwe zabezpieczenie chroniące nośnik przed jego fizycznym uszkodzeniem. </w:t>
      </w:r>
    </w:p>
    <w:p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Opis nośnika nie ujawnia charakteru zawartych na nim informacji.</w:t>
      </w:r>
    </w:p>
    <w:p w:rsidR="008669F6" w:rsidRPr="00DA699D" w:rsidRDefault="008669F6" w:rsidP="008669F6">
      <w:pPr>
        <w:numPr>
          <w:ilvl w:val="0"/>
          <w:numId w:val="1"/>
        </w:numPr>
        <w:suppressAutoHyphens/>
        <w:autoSpaceDE w:val="0"/>
        <w:autoSpaceDN w:val="0"/>
        <w:adjustRightInd w:val="0"/>
        <w:spacing w:after="0" w:line="259" w:lineRule="auto"/>
        <w:ind w:left="540" w:hanging="540"/>
        <w:jc w:val="both"/>
        <w:rPr>
          <w:rFonts w:ascii="Arial" w:hAnsi="Arial" w:cs="Arial"/>
          <w:sz w:val="20"/>
          <w:szCs w:val="20"/>
        </w:rPr>
      </w:pPr>
      <w:r w:rsidRPr="00DA699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p w:rsidR="00A57E6B" w:rsidRDefault="00A57E6B"/>
    <w:sectPr w:rsidR="00A57E6B" w:rsidSect="00982FC8">
      <w:headerReference w:type="default" r:id="rId8"/>
      <w:footerReference w:type="even" r:id="rId9"/>
      <w:footerReference w:type="default" r:id="rId10"/>
      <w:footerReference w:type="first" r:id="rId11"/>
      <w:pgSz w:w="11906" w:h="16838"/>
      <w:pgMar w:top="709"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922" w:rsidRDefault="00037922" w:rsidP="008669F6">
      <w:pPr>
        <w:spacing w:after="0" w:line="240" w:lineRule="auto"/>
      </w:pPr>
      <w:r>
        <w:separator/>
      </w:r>
    </w:p>
  </w:endnote>
  <w:endnote w:type="continuationSeparator" w:id="0">
    <w:p w:rsidR="00037922" w:rsidRDefault="00037922" w:rsidP="00866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5A5570">
      <w:tc>
        <w:tcPr>
          <w:tcW w:w="0" w:type="auto"/>
          <w:vAlign w:val="center"/>
        </w:tcPr>
        <w:p w:rsidR="005A5570" w:rsidRDefault="005A740D">
          <w:pPr>
            <w:spacing w:line="240" w:lineRule="auto"/>
          </w:pPr>
          <w:r>
            <w:rPr>
              <w:sz w:val="16"/>
            </w:rPr>
            <w:t>Rodzaj</w:t>
          </w:r>
        </w:p>
      </w:tc>
      <w:tc>
        <w:tcPr>
          <w:tcW w:w="0" w:type="auto"/>
          <w:vAlign w:val="center"/>
        </w:tcPr>
        <w:p w:rsidR="005A5570" w:rsidRDefault="005A740D">
          <w:pPr>
            <w:spacing w:line="240" w:lineRule="auto"/>
          </w:pPr>
          <w:r>
            <w:rPr>
              <w:sz w:val="16"/>
            </w:rPr>
            <w:t>ID umowy</w:t>
          </w:r>
        </w:p>
      </w:tc>
      <w:tc>
        <w:tcPr>
          <w:tcW w:w="0" w:type="auto"/>
          <w:vAlign w:val="center"/>
        </w:tcPr>
        <w:p w:rsidR="005A5570" w:rsidRDefault="005A740D">
          <w:pPr>
            <w:spacing w:line="240" w:lineRule="auto"/>
          </w:pPr>
          <w:r>
            <w:rPr>
              <w:sz w:val="16"/>
            </w:rPr>
            <w:t>ID pliku</w:t>
          </w:r>
        </w:p>
      </w:tc>
      <w:tc>
        <w:tcPr>
          <w:tcW w:w="0" w:type="auto"/>
          <w:vAlign w:val="center"/>
        </w:tcPr>
        <w:p w:rsidR="005A5570" w:rsidRDefault="005A740D">
          <w:pPr>
            <w:spacing w:line="240" w:lineRule="auto"/>
          </w:pPr>
          <w:r>
            <w:rPr>
              <w:sz w:val="16"/>
            </w:rPr>
            <w:t>Stan</w:t>
          </w:r>
        </w:p>
      </w:tc>
      <w:tc>
        <w:tcPr>
          <w:tcW w:w="0" w:type="auto"/>
          <w:vAlign w:val="center"/>
        </w:tcPr>
        <w:p w:rsidR="005A5570" w:rsidRDefault="005A740D">
          <w:pPr>
            <w:spacing w:line="240" w:lineRule="auto"/>
          </w:pPr>
          <w:r>
            <w:rPr>
              <w:sz w:val="16"/>
            </w:rPr>
            <w:t>Data modyfikacji</w:t>
          </w:r>
        </w:p>
      </w:tc>
    </w:tr>
    <w:tr w:rsidR="005A5570">
      <w:tc>
        <w:tcPr>
          <w:tcW w:w="0" w:type="auto"/>
          <w:vAlign w:val="center"/>
        </w:tcPr>
        <w:p w:rsidR="005A5570" w:rsidRDefault="005A740D">
          <w:pPr>
            <w:spacing w:line="240" w:lineRule="auto"/>
          </w:pPr>
          <w:r>
            <w:rPr>
              <w:sz w:val="16"/>
            </w:rPr>
            <w:t>Opiniowana</w:t>
          </w:r>
        </w:p>
      </w:tc>
      <w:tc>
        <w:tcPr>
          <w:tcW w:w="0" w:type="auto"/>
          <w:vAlign w:val="center"/>
        </w:tcPr>
        <w:p w:rsidR="005A5570" w:rsidRDefault="005A740D">
          <w:pPr>
            <w:spacing w:line="240" w:lineRule="auto"/>
          </w:pPr>
          <w:r>
            <w:rPr>
              <w:sz w:val="16"/>
            </w:rPr>
            <w:t>281418929</w:t>
          </w:r>
        </w:p>
      </w:tc>
      <w:tc>
        <w:tcPr>
          <w:tcW w:w="0" w:type="auto"/>
          <w:vAlign w:val="center"/>
        </w:tcPr>
        <w:p w:rsidR="005A5570" w:rsidRDefault="005A740D">
          <w:pPr>
            <w:spacing w:line="240" w:lineRule="auto"/>
          </w:pPr>
          <w:r>
            <w:rPr>
              <w:sz w:val="16"/>
            </w:rPr>
            <w:t>281430459</w:t>
          </w:r>
        </w:p>
      </w:tc>
      <w:tc>
        <w:tcPr>
          <w:tcW w:w="0" w:type="auto"/>
          <w:vAlign w:val="center"/>
        </w:tcPr>
        <w:p w:rsidR="005A5570" w:rsidRDefault="005A740D">
          <w:pPr>
            <w:spacing w:line="240" w:lineRule="auto"/>
          </w:pPr>
          <w:r>
            <w:rPr>
              <w:sz w:val="16"/>
            </w:rPr>
            <w:t>Do zaopiniowania</w:t>
          </w:r>
        </w:p>
      </w:tc>
      <w:tc>
        <w:tcPr>
          <w:tcW w:w="0" w:type="auto"/>
          <w:vAlign w:val="center"/>
        </w:tcPr>
        <w:p w:rsidR="005A5570" w:rsidRDefault="005A740D">
          <w:pPr>
            <w:spacing w:line="240" w:lineRule="auto"/>
          </w:pPr>
          <w:r>
            <w:rPr>
              <w:sz w:val="16"/>
            </w:rPr>
            <w:t>2023-10-06 14:37:15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rsidR="00982FC8">
      <w:rPr>
        <w:noProof/>
      </w:rPr>
      <w:t>6</w:t>
    </w:r>
    <w:r>
      <w:fldChar w:fldCharType="end"/>
    </w:r>
    <w:r>
      <w:t xml:space="preserve"> z </w:t>
    </w:r>
    <w:fldSimple w:instr=" NUMPAGES ">
      <w:r w:rsidR="00982FC8">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5A5570">
      <w:tc>
        <w:tcPr>
          <w:tcW w:w="0" w:type="auto"/>
          <w:vAlign w:val="center"/>
        </w:tcPr>
        <w:p w:rsidR="005A5570" w:rsidRDefault="005A740D">
          <w:pPr>
            <w:spacing w:line="240" w:lineRule="auto"/>
          </w:pPr>
          <w:r>
            <w:rPr>
              <w:sz w:val="16"/>
            </w:rPr>
            <w:t>Rodzaj</w:t>
          </w:r>
        </w:p>
      </w:tc>
      <w:tc>
        <w:tcPr>
          <w:tcW w:w="0" w:type="auto"/>
          <w:vAlign w:val="center"/>
        </w:tcPr>
        <w:p w:rsidR="005A5570" w:rsidRDefault="005A740D">
          <w:pPr>
            <w:spacing w:line="240" w:lineRule="auto"/>
          </w:pPr>
          <w:r>
            <w:rPr>
              <w:sz w:val="16"/>
            </w:rPr>
            <w:t>ID umowy</w:t>
          </w:r>
        </w:p>
      </w:tc>
      <w:tc>
        <w:tcPr>
          <w:tcW w:w="0" w:type="auto"/>
          <w:vAlign w:val="center"/>
        </w:tcPr>
        <w:p w:rsidR="005A5570" w:rsidRDefault="005A740D">
          <w:pPr>
            <w:spacing w:line="240" w:lineRule="auto"/>
          </w:pPr>
          <w:r>
            <w:rPr>
              <w:sz w:val="16"/>
            </w:rPr>
            <w:t>ID pliku</w:t>
          </w:r>
        </w:p>
      </w:tc>
      <w:tc>
        <w:tcPr>
          <w:tcW w:w="0" w:type="auto"/>
          <w:vAlign w:val="center"/>
        </w:tcPr>
        <w:p w:rsidR="005A5570" w:rsidRDefault="005A740D">
          <w:pPr>
            <w:spacing w:line="240" w:lineRule="auto"/>
          </w:pPr>
          <w:r>
            <w:rPr>
              <w:sz w:val="16"/>
            </w:rPr>
            <w:t>Stan</w:t>
          </w:r>
        </w:p>
      </w:tc>
      <w:tc>
        <w:tcPr>
          <w:tcW w:w="0" w:type="auto"/>
          <w:vAlign w:val="center"/>
        </w:tcPr>
        <w:p w:rsidR="005A5570" w:rsidRDefault="005A740D">
          <w:pPr>
            <w:spacing w:line="240" w:lineRule="auto"/>
          </w:pPr>
          <w:r>
            <w:rPr>
              <w:sz w:val="16"/>
            </w:rPr>
            <w:t>Data modyfikacji</w:t>
          </w:r>
        </w:p>
      </w:tc>
    </w:tr>
    <w:tr w:rsidR="005A5570">
      <w:tc>
        <w:tcPr>
          <w:tcW w:w="0" w:type="auto"/>
          <w:vAlign w:val="center"/>
        </w:tcPr>
        <w:p w:rsidR="005A5570" w:rsidRDefault="005A740D">
          <w:pPr>
            <w:spacing w:line="240" w:lineRule="auto"/>
          </w:pPr>
          <w:r>
            <w:rPr>
              <w:sz w:val="16"/>
            </w:rPr>
            <w:t>Opiniowana</w:t>
          </w:r>
        </w:p>
      </w:tc>
      <w:tc>
        <w:tcPr>
          <w:tcW w:w="0" w:type="auto"/>
          <w:vAlign w:val="center"/>
        </w:tcPr>
        <w:p w:rsidR="005A5570" w:rsidRDefault="005A740D">
          <w:pPr>
            <w:spacing w:line="240" w:lineRule="auto"/>
          </w:pPr>
          <w:r>
            <w:rPr>
              <w:sz w:val="16"/>
            </w:rPr>
            <w:t>281418929</w:t>
          </w:r>
        </w:p>
      </w:tc>
      <w:tc>
        <w:tcPr>
          <w:tcW w:w="0" w:type="auto"/>
          <w:vAlign w:val="center"/>
        </w:tcPr>
        <w:p w:rsidR="005A5570" w:rsidRDefault="005A740D">
          <w:pPr>
            <w:spacing w:line="240" w:lineRule="auto"/>
          </w:pPr>
          <w:r>
            <w:rPr>
              <w:sz w:val="16"/>
            </w:rPr>
            <w:t>281430459</w:t>
          </w:r>
        </w:p>
      </w:tc>
      <w:tc>
        <w:tcPr>
          <w:tcW w:w="0" w:type="auto"/>
          <w:vAlign w:val="center"/>
        </w:tcPr>
        <w:p w:rsidR="005A5570" w:rsidRDefault="005A740D">
          <w:pPr>
            <w:spacing w:line="240" w:lineRule="auto"/>
          </w:pPr>
          <w:r>
            <w:rPr>
              <w:sz w:val="16"/>
            </w:rPr>
            <w:t>Do zaopiniowania</w:t>
          </w:r>
        </w:p>
      </w:tc>
      <w:tc>
        <w:tcPr>
          <w:tcW w:w="0" w:type="auto"/>
          <w:vAlign w:val="center"/>
        </w:tcPr>
        <w:p w:rsidR="005A5570" w:rsidRDefault="005A740D">
          <w:pPr>
            <w:spacing w:line="240" w:lineRule="auto"/>
          </w:pPr>
          <w:r>
            <w:rPr>
              <w:sz w:val="16"/>
            </w:rPr>
            <w:t>2023-10-06 14:37:15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922" w:rsidRDefault="00037922" w:rsidP="008669F6">
      <w:pPr>
        <w:spacing w:after="0" w:line="240" w:lineRule="auto"/>
      </w:pPr>
      <w:r>
        <w:separator/>
      </w:r>
    </w:p>
  </w:footnote>
  <w:footnote w:type="continuationSeparator" w:id="0">
    <w:p w:rsidR="00037922" w:rsidRDefault="00037922" w:rsidP="00866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9F6" w:rsidRDefault="008669F6">
    <w:pPr>
      <w:pStyle w:val="Nagwek"/>
      <w:jc w:val="right"/>
      <w:rPr>
        <w:color w:val="5B9BD5" w:themeColor="accent1"/>
      </w:rPr>
    </w:pPr>
  </w:p>
  <w:p w:rsidR="009B2705" w:rsidRDefault="008669F6" w:rsidP="00982FC8">
    <w:pPr>
      <w:pStyle w:val="Nagwek"/>
      <w:jc w:val="right"/>
    </w:pPr>
    <w:r w:rsidRPr="008669F6">
      <w:rPr>
        <w:rFonts w:ascii="Arial" w:hAnsi="Arial" w:cs="Arial"/>
        <w:sz w:val="16"/>
        <w:szCs w:val="16"/>
      </w:rPr>
      <w:t>Zarządzenie nr 36/2023</w:t>
    </w:r>
    <w:r>
      <w:tab/>
    </w:r>
    <w:r>
      <w:tab/>
    </w:r>
    <w:r w:rsidRPr="008669F6">
      <w:rPr>
        <w:rFonts w:ascii="Arial" w:hAnsi="Arial"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9F6"/>
    <w:rsid w:val="00037922"/>
    <w:rsid w:val="00070D3C"/>
    <w:rsid w:val="00393217"/>
    <w:rsid w:val="005A5570"/>
    <w:rsid w:val="005A740D"/>
    <w:rsid w:val="005D072A"/>
    <w:rsid w:val="005F3722"/>
    <w:rsid w:val="00641A3E"/>
    <w:rsid w:val="006B1320"/>
    <w:rsid w:val="006B5D40"/>
    <w:rsid w:val="007C2A4C"/>
    <w:rsid w:val="008669F6"/>
    <w:rsid w:val="008E6077"/>
    <w:rsid w:val="00982FC8"/>
    <w:rsid w:val="009B2705"/>
    <w:rsid w:val="009C4963"/>
    <w:rsid w:val="00A26815"/>
    <w:rsid w:val="00A57E6B"/>
    <w:rsid w:val="00B17AE1"/>
    <w:rsid w:val="00CE2805"/>
    <w:rsid w:val="00DA699D"/>
    <w:rsid w:val="00FD5076"/>
    <w:rsid w:val="00FF6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4663"/>
  <w15:chartTrackingRefBased/>
  <w15:docId w15:val="{1E5C819F-E026-4110-BCCC-1F4DAAA8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69F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669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69F6"/>
    <w:rPr>
      <w:rFonts w:ascii="Calibri" w:eastAsia="Calibri" w:hAnsi="Calibri" w:cs="Times New Roman"/>
    </w:rPr>
  </w:style>
  <w:style w:type="paragraph" w:styleId="Stopka">
    <w:name w:val="footer"/>
    <w:basedOn w:val="Normalny"/>
    <w:link w:val="StopkaZnak"/>
    <w:uiPriority w:val="99"/>
    <w:unhideWhenUsed/>
    <w:rsid w:val="008669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69F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3241</Words>
  <Characters>19452</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Załącznik nr</vt:lpstr>
    </vt:vector>
  </TitlesOfParts>
  <Company>PKN ORLEN S.A.</Company>
  <LinksUpToDate>false</LinksUpToDate>
  <CharactersWithSpaces>22648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Pacholik Wioleta (ANW)</dc:creator>
  <cp:lastModifiedBy>Bobrowski Marcin (ANW)</cp:lastModifiedBy>
  <cp:revision>15</cp:revision>
  <dcterms:created xsi:type="dcterms:W3CDTF">2023-10-23T10:43:00Z</dcterms:created>
  <dcterms:modified xsi:type="dcterms:W3CDTF">2024-01-19T13:15:00Z</dcterms:modified>
</cp:coreProperties>
</file>