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0790AB" w14:textId="77777777" w:rsidR="00721D78" w:rsidRDefault="00721D78" w:rsidP="004244A3">
      <w:pPr>
        <w:jc w:val="both"/>
        <w:outlineLvl w:val="2"/>
        <w:rPr>
          <w:rFonts w:ascii="Arial" w:hAnsi="Arial" w:cs="Arial"/>
          <w:b/>
          <w:lang w:val="en-GB"/>
        </w:rPr>
      </w:pPr>
      <w:bookmarkStart w:id="0" w:name="_Toc201663502"/>
    </w:p>
    <w:p w14:paraId="6AC90A46" w14:textId="77777777" w:rsidR="00721D78" w:rsidRPr="00CD512B" w:rsidRDefault="00721D78" w:rsidP="00721D78">
      <w:pPr>
        <w:pStyle w:val="Tytu"/>
        <w:tabs>
          <w:tab w:val="left" w:pos="2540"/>
          <w:tab w:val="center" w:pos="4536"/>
        </w:tabs>
        <w:rPr>
          <w:lang w:val="en-GB"/>
        </w:rPr>
      </w:pPr>
      <w:r w:rsidRPr="000660C8">
        <w:rPr>
          <w:noProof/>
        </w:rPr>
        <w:drawing>
          <wp:anchor distT="0" distB="0" distL="114300" distR="114300" simplePos="0" relativeHeight="251659264" behindDoc="1" locked="0" layoutInCell="1" allowOverlap="1" wp14:anchorId="70F48F4B" wp14:editId="712A2355">
            <wp:simplePos x="0" y="0"/>
            <wp:positionH relativeFrom="margin">
              <wp:posOffset>-2441575</wp:posOffset>
            </wp:positionH>
            <wp:positionV relativeFrom="paragraph">
              <wp:posOffset>-1774190</wp:posOffset>
            </wp:positionV>
            <wp:extent cx="10644291" cy="5990167"/>
            <wp:effectExtent l="0" t="0" r="0" b="0"/>
            <wp:wrapNone/>
            <wp:docPr id="2" name="Obraz 2" descr="D:\Dane\zygmuntkrz\Desktop\Baltic East\WTG RFI\pozi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ne\zygmuntkrz\Desktop\Baltic East\WTG RFI\poziom.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644291" cy="599016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512B">
        <w:rPr>
          <w:lang w:val="en-GB"/>
        </w:rPr>
        <w:t xml:space="preserve"> </w:t>
      </w:r>
    </w:p>
    <w:p w14:paraId="3D9C1DD6" w14:textId="77777777" w:rsidR="00721D78" w:rsidRPr="00CD512B" w:rsidRDefault="00721D78" w:rsidP="00721D78">
      <w:pPr>
        <w:pStyle w:val="Tytu"/>
        <w:tabs>
          <w:tab w:val="left" w:pos="2540"/>
          <w:tab w:val="center" w:pos="4536"/>
        </w:tabs>
        <w:jc w:val="left"/>
        <w:rPr>
          <w:lang w:val="en-GB"/>
        </w:rPr>
      </w:pPr>
    </w:p>
    <w:p w14:paraId="29315EB4" w14:textId="77777777" w:rsidR="00721D78" w:rsidRPr="00CD512B" w:rsidRDefault="00721D78" w:rsidP="00721D78">
      <w:pPr>
        <w:pStyle w:val="Tytu"/>
        <w:tabs>
          <w:tab w:val="left" w:pos="2540"/>
          <w:tab w:val="center" w:pos="4536"/>
        </w:tabs>
        <w:jc w:val="left"/>
        <w:rPr>
          <w:lang w:val="en-GB"/>
        </w:rPr>
      </w:pPr>
    </w:p>
    <w:p w14:paraId="660AEF90" w14:textId="77777777" w:rsidR="00721D78" w:rsidRDefault="00721D78" w:rsidP="00721D78">
      <w:pPr>
        <w:pStyle w:val="Tytu"/>
        <w:tabs>
          <w:tab w:val="left" w:pos="2540"/>
          <w:tab w:val="center" w:pos="4536"/>
        </w:tabs>
        <w:rPr>
          <w:rFonts w:ascii="Arial" w:hAnsi="Arial" w:cs="Arial"/>
          <w:b/>
          <w:lang w:val="en-GB"/>
        </w:rPr>
      </w:pPr>
    </w:p>
    <w:p w14:paraId="4C954ECA" w14:textId="77777777" w:rsidR="00721D78" w:rsidRDefault="00721D78" w:rsidP="00721D78">
      <w:pPr>
        <w:pStyle w:val="Tytu"/>
        <w:tabs>
          <w:tab w:val="left" w:pos="2540"/>
          <w:tab w:val="center" w:pos="4536"/>
        </w:tabs>
        <w:rPr>
          <w:rFonts w:ascii="Arial" w:hAnsi="Arial" w:cs="Arial"/>
          <w:b/>
          <w:lang w:val="en-GB"/>
        </w:rPr>
      </w:pPr>
    </w:p>
    <w:p w14:paraId="16FC6F4E" w14:textId="77777777" w:rsidR="00721D78" w:rsidRDefault="00721D78" w:rsidP="00721D78">
      <w:pPr>
        <w:pStyle w:val="Tytu"/>
        <w:tabs>
          <w:tab w:val="left" w:pos="2540"/>
          <w:tab w:val="center" w:pos="4536"/>
        </w:tabs>
        <w:rPr>
          <w:rFonts w:ascii="Arial" w:hAnsi="Arial" w:cs="Arial"/>
          <w:b/>
          <w:lang w:val="en-GB"/>
        </w:rPr>
      </w:pPr>
    </w:p>
    <w:p w14:paraId="6D46C798" w14:textId="77777777" w:rsidR="00721D78" w:rsidRDefault="00721D78" w:rsidP="00721D78">
      <w:pPr>
        <w:pStyle w:val="Tytu"/>
        <w:tabs>
          <w:tab w:val="left" w:pos="2540"/>
          <w:tab w:val="center" w:pos="4536"/>
        </w:tabs>
        <w:rPr>
          <w:rFonts w:ascii="Arial" w:hAnsi="Arial" w:cs="Arial"/>
          <w:b/>
          <w:lang w:val="en-GB"/>
        </w:rPr>
      </w:pPr>
    </w:p>
    <w:p w14:paraId="4F63FE44" w14:textId="77777777" w:rsidR="00721D78" w:rsidRDefault="00721D78" w:rsidP="00721D78">
      <w:pPr>
        <w:pStyle w:val="Tytu"/>
        <w:tabs>
          <w:tab w:val="left" w:pos="2540"/>
          <w:tab w:val="center" w:pos="4536"/>
        </w:tabs>
        <w:rPr>
          <w:rFonts w:ascii="Arial" w:hAnsi="Arial" w:cs="Arial"/>
          <w:b/>
          <w:lang w:val="en-GB"/>
        </w:rPr>
      </w:pPr>
    </w:p>
    <w:p w14:paraId="4A1E4DD8" w14:textId="77777777" w:rsidR="00721D78" w:rsidRDefault="00721D78" w:rsidP="00721D78">
      <w:pPr>
        <w:pStyle w:val="Tytu"/>
        <w:tabs>
          <w:tab w:val="left" w:pos="2540"/>
          <w:tab w:val="center" w:pos="4536"/>
        </w:tabs>
        <w:rPr>
          <w:rFonts w:ascii="Arial" w:hAnsi="Arial" w:cs="Arial"/>
          <w:b/>
          <w:lang w:val="en-GB"/>
        </w:rPr>
      </w:pPr>
    </w:p>
    <w:p w14:paraId="079D3AD4" w14:textId="77777777" w:rsidR="00721D78" w:rsidRDefault="00721D78" w:rsidP="00721D78">
      <w:pPr>
        <w:pStyle w:val="Tytu"/>
        <w:tabs>
          <w:tab w:val="left" w:pos="2540"/>
          <w:tab w:val="center" w:pos="4536"/>
        </w:tabs>
        <w:rPr>
          <w:rFonts w:ascii="Arial" w:hAnsi="Arial" w:cs="Arial"/>
          <w:b/>
          <w:lang w:val="en-GB"/>
        </w:rPr>
      </w:pPr>
    </w:p>
    <w:p w14:paraId="35E684F3" w14:textId="77777777" w:rsidR="00721D78" w:rsidRDefault="00721D78" w:rsidP="00721D78">
      <w:pPr>
        <w:pStyle w:val="Tytu"/>
        <w:tabs>
          <w:tab w:val="left" w:pos="2540"/>
          <w:tab w:val="center" w:pos="4536"/>
        </w:tabs>
        <w:rPr>
          <w:rFonts w:ascii="Arial" w:hAnsi="Arial" w:cs="Arial"/>
          <w:b/>
          <w:lang w:val="en-GB"/>
        </w:rPr>
      </w:pPr>
    </w:p>
    <w:p w14:paraId="67871F03" w14:textId="77777777" w:rsidR="00721D78" w:rsidRDefault="00721D78" w:rsidP="00721D78">
      <w:pPr>
        <w:pStyle w:val="Tytu"/>
        <w:tabs>
          <w:tab w:val="left" w:pos="2540"/>
          <w:tab w:val="center" w:pos="4536"/>
        </w:tabs>
        <w:rPr>
          <w:rFonts w:ascii="Arial" w:hAnsi="Arial" w:cs="Arial"/>
          <w:b/>
          <w:lang w:val="en-GB"/>
        </w:rPr>
      </w:pPr>
    </w:p>
    <w:p w14:paraId="45BDB3E5" w14:textId="77777777" w:rsidR="00721D78" w:rsidRDefault="00721D78" w:rsidP="00721D78">
      <w:pPr>
        <w:pStyle w:val="Tytu"/>
        <w:tabs>
          <w:tab w:val="left" w:pos="2540"/>
          <w:tab w:val="center" w:pos="4536"/>
        </w:tabs>
        <w:rPr>
          <w:rFonts w:ascii="Arial" w:hAnsi="Arial" w:cs="Arial"/>
          <w:b/>
          <w:lang w:val="en-GB"/>
        </w:rPr>
      </w:pPr>
    </w:p>
    <w:p w14:paraId="19AB310F" w14:textId="77777777" w:rsidR="00721D78" w:rsidRDefault="00721D78" w:rsidP="00721D78">
      <w:pPr>
        <w:pStyle w:val="Tytu"/>
        <w:tabs>
          <w:tab w:val="left" w:pos="2540"/>
          <w:tab w:val="center" w:pos="4536"/>
        </w:tabs>
        <w:rPr>
          <w:rFonts w:ascii="Arial" w:hAnsi="Arial" w:cs="Arial"/>
          <w:b/>
          <w:lang w:val="en-GB"/>
        </w:rPr>
      </w:pPr>
    </w:p>
    <w:p w14:paraId="5785D042" w14:textId="17E3A9E6" w:rsidR="00721D78" w:rsidRDefault="00721D78" w:rsidP="00721D78">
      <w:pPr>
        <w:pStyle w:val="Tytu"/>
        <w:tabs>
          <w:tab w:val="left" w:pos="2540"/>
          <w:tab w:val="center" w:pos="4536"/>
        </w:tabs>
        <w:rPr>
          <w:rFonts w:ascii="Arial" w:hAnsi="Arial" w:cs="Arial"/>
          <w:b/>
          <w:lang w:val="en-GB"/>
        </w:rPr>
      </w:pPr>
      <w:r>
        <w:rPr>
          <w:rFonts w:ascii="Arial" w:hAnsi="Arial" w:cs="Arial"/>
          <w:b/>
          <w:lang w:val="en-GB"/>
        </w:rPr>
        <w:t>Baltic East Project - INTRODUCTION</w:t>
      </w:r>
      <w:r w:rsidRPr="006129C2">
        <w:rPr>
          <w:rFonts w:ascii="Arial" w:hAnsi="Arial" w:cs="Arial"/>
          <w:b/>
          <w:lang w:val="en-GB"/>
        </w:rPr>
        <w:t xml:space="preserve"> </w:t>
      </w:r>
    </w:p>
    <w:p w14:paraId="43935C94" w14:textId="77777777" w:rsidR="00721D78" w:rsidRPr="006129C2" w:rsidRDefault="00721D78" w:rsidP="00721D78">
      <w:pPr>
        <w:pStyle w:val="Tytu"/>
        <w:tabs>
          <w:tab w:val="left" w:pos="2540"/>
          <w:tab w:val="center" w:pos="4536"/>
        </w:tabs>
        <w:rPr>
          <w:rFonts w:ascii="Arial" w:hAnsi="Arial" w:cs="Arial"/>
          <w:b/>
          <w:lang w:val="en-GB"/>
        </w:rPr>
      </w:pPr>
    </w:p>
    <w:p w14:paraId="35D5C0A1" w14:textId="77777777" w:rsidR="00721D78" w:rsidRDefault="00721D78" w:rsidP="00721D78">
      <w:pPr>
        <w:pStyle w:val="Tytu"/>
        <w:tabs>
          <w:tab w:val="left" w:pos="2540"/>
          <w:tab w:val="center" w:pos="4536"/>
        </w:tabs>
        <w:rPr>
          <w:rFonts w:ascii="Arial" w:hAnsi="Arial" w:cs="Arial"/>
          <w:lang w:val="en-GB"/>
        </w:rPr>
      </w:pPr>
      <w:r w:rsidRPr="006129C2">
        <w:rPr>
          <w:rFonts w:ascii="Arial" w:hAnsi="Arial" w:cs="Arial"/>
          <w:lang w:val="en-GB"/>
        </w:rPr>
        <w:t>as part of the procurement procedure entitled:</w:t>
      </w:r>
    </w:p>
    <w:p w14:paraId="644BA904" w14:textId="77777777" w:rsidR="00721D78" w:rsidRPr="006129C2" w:rsidRDefault="00721D78" w:rsidP="00721D78">
      <w:pPr>
        <w:pStyle w:val="Tytu"/>
        <w:tabs>
          <w:tab w:val="left" w:pos="2540"/>
          <w:tab w:val="center" w:pos="4536"/>
        </w:tabs>
        <w:rPr>
          <w:rFonts w:ascii="Arial" w:hAnsi="Arial" w:cs="Arial"/>
          <w:lang w:val="en-GB"/>
        </w:rPr>
      </w:pPr>
    </w:p>
    <w:p w14:paraId="0E1598D5" w14:textId="77777777" w:rsidR="00BF4098" w:rsidRDefault="00721D78" w:rsidP="00721D78">
      <w:pPr>
        <w:pStyle w:val="Tytu"/>
        <w:tabs>
          <w:tab w:val="left" w:pos="2540"/>
          <w:tab w:val="center" w:pos="4536"/>
        </w:tabs>
        <w:rPr>
          <w:rFonts w:ascii="Arial" w:hAnsi="Arial" w:cs="Arial"/>
          <w:b/>
          <w:lang w:val="en-US"/>
        </w:rPr>
      </w:pPr>
      <w:r w:rsidRPr="006129C2">
        <w:rPr>
          <w:rFonts w:ascii="Arial" w:hAnsi="Arial" w:cs="Arial"/>
          <w:b/>
          <w:lang w:val="en-GB"/>
        </w:rPr>
        <w:t>“</w:t>
      </w:r>
      <w:r w:rsidRPr="00790D62">
        <w:rPr>
          <w:rFonts w:ascii="Arial" w:hAnsi="Arial" w:cs="Arial"/>
          <w:b/>
          <w:lang w:val="en-GB"/>
        </w:rPr>
        <w:t xml:space="preserve">Transport and </w:t>
      </w:r>
      <w:r w:rsidR="00BF4098" w:rsidRPr="00BF4098">
        <w:rPr>
          <w:rFonts w:ascii="Arial" w:hAnsi="Arial" w:cs="Arial"/>
          <w:b/>
          <w:lang w:val="en-GB"/>
        </w:rPr>
        <w:t xml:space="preserve">Installation services of Offshore </w:t>
      </w:r>
      <w:r w:rsidR="00BF4098" w:rsidRPr="00BF4098">
        <w:rPr>
          <w:rFonts w:ascii="Arial" w:hAnsi="Arial" w:cs="Arial"/>
          <w:b/>
          <w:lang w:val="en-US"/>
        </w:rPr>
        <w:t xml:space="preserve">Wind Turbine Generator (WTG) components </w:t>
      </w:r>
    </w:p>
    <w:p w14:paraId="459FF810" w14:textId="50A61237" w:rsidR="00721D78" w:rsidRPr="006129C2" w:rsidRDefault="00BF4098" w:rsidP="00721D78">
      <w:pPr>
        <w:pStyle w:val="Tytu"/>
        <w:tabs>
          <w:tab w:val="left" w:pos="2540"/>
          <w:tab w:val="center" w:pos="4536"/>
        </w:tabs>
        <w:rPr>
          <w:rFonts w:ascii="Arial" w:hAnsi="Arial" w:cs="Arial"/>
          <w:b/>
          <w:lang w:val="en-GB"/>
        </w:rPr>
      </w:pPr>
      <w:r w:rsidRPr="00BF4098">
        <w:rPr>
          <w:rFonts w:ascii="Arial" w:hAnsi="Arial" w:cs="Arial"/>
          <w:b/>
          <w:lang w:val="en-GB"/>
        </w:rPr>
        <w:t>for the</w:t>
      </w:r>
      <w:r w:rsidRPr="00BF4098">
        <w:rPr>
          <w:rFonts w:ascii="Arial" w:hAnsi="Arial" w:cs="Arial"/>
          <w:b/>
          <w:lang w:val="en-US"/>
        </w:rPr>
        <w:t> Offshore Wind Farm Project</w:t>
      </w:r>
      <w:r w:rsidR="00721D78" w:rsidRPr="006129C2">
        <w:rPr>
          <w:rFonts w:ascii="Arial" w:hAnsi="Arial" w:cs="Arial"/>
          <w:b/>
          <w:lang w:val="en-GB"/>
        </w:rPr>
        <w:t>.”</w:t>
      </w:r>
    </w:p>
    <w:p w14:paraId="24FC5016" w14:textId="77777777" w:rsidR="00721D78" w:rsidRPr="00E20088" w:rsidRDefault="00721D78" w:rsidP="00721D78">
      <w:pPr>
        <w:pStyle w:val="Tytu"/>
        <w:tabs>
          <w:tab w:val="left" w:pos="2540"/>
          <w:tab w:val="center" w:pos="4536"/>
        </w:tabs>
        <w:rPr>
          <w:rFonts w:ascii="Arial" w:hAnsi="Arial" w:cs="Arial"/>
          <w:lang w:val="en-GB"/>
        </w:rPr>
      </w:pPr>
    </w:p>
    <w:p w14:paraId="7E992066" w14:textId="77777777" w:rsidR="00721D78" w:rsidRPr="006129C2" w:rsidRDefault="00721D78" w:rsidP="00721D78">
      <w:pPr>
        <w:rPr>
          <w:lang w:val="en-GB"/>
        </w:rPr>
      </w:pPr>
    </w:p>
    <w:p w14:paraId="537CE309" w14:textId="77777777" w:rsidR="00721D78" w:rsidRPr="006129C2" w:rsidRDefault="00721D78" w:rsidP="00721D78">
      <w:pPr>
        <w:rPr>
          <w:lang w:val="en-GB"/>
        </w:rPr>
      </w:pPr>
    </w:p>
    <w:p w14:paraId="791EC561" w14:textId="77777777" w:rsidR="00721D78" w:rsidRPr="006129C2" w:rsidRDefault="00721D78" w:rsidP="00721D78">
      <w:pPr>
        <w:rPr>
          <w:lang w:val="en-GB"/>
        </w:rPr>
      </w:pPr>
    </w:p>
    <w:p w14:paraId="2C8716C5" w14:textId="77777777" w:rsidR="00721D78" w:rsidRPr="006129C2" w:rsidRDefault="00721D78" w:rsidP="00721D78">
      <w:pPr>
        <w:rPr>
          <w:lang w:val="en-GB"/>
        </w:rPr>
      </w:pPr>
    </w:p>
    <w:p w14:paraId="55815935" w14:textId="77777777" w:rsidR="00721D78" w:rsidRPr="006129C2" w:rsidRDefault="00721D78" w:rsidP="00721D78">
      <w:pPr>
        <w:rPr>
          <w:lang w:val="en-GB"/>
        </w:rPr>
      </w:pPr>
    </w:p>
    <w:p w14:paraId="5E4837B2" w14:textId="77777777" w:rsidR="00721D78" w:rsidRPr="006129C2" w:rsidRDefault="00721D78" w:rsidP="00721D78">
      <w:pPr>
        <w:rPr>
          <w:lang w:val="en-GB"/>
        </w:rPr>
      </w:pPr>
    </w:p>
    <w:tbl>
      <w:tblPr>
        <w:tblStyle w:val="Tabela-Siatka"/>
        <w:tblW w:w="0" w:type="auto"/>
        <w:tblLook w:val="04A0" w:firstRow="1" w:lastRow="0" w:firstColumn="1" w:lastColumn="0" w:noHBand="0" w:noVBand="1"/>
      </w:tblPr>
      <w:tblGrid>
        <w:gridCol w:w="1507"/>
        <w:gridCol w:w="1506"/>
        <w:gridCol w:w="1520"/>
        <w:gridCol w:w="1509"/>
        <w:gridCol w:w="1510"/>
        <w:gridCol w:w="1510"/>
      </w:tblGrid>
      <w:tr w:rsidR="00721D78" w:rsidRPr="00A56791" w14:paraId="180BFE28" w14:textId="77777777" w:rsidTr="00D1060F">
        <w:tc>
          <w:tcPr>
            <w:tcW w:w="1507" w:type="dxa"/>
            <w:shd w:val="clear" w:color="auto" w:fill="B63422"/>
          </w:tcPr>
          <w:p w14:paraId="138D81A8" w14:textId="77777777" w:rsidR="00721D78" w:rsidRPr="00A56791" w:rsidRDefault="00721D78" w:rsidP="00D1060F">
            <w:pPr>
              <w:rPr>
                <w:b/>
              </w:rPr>
            </w:pPr>
            <w:proofErr w:type="spellStart"/>
            <w:r>
              <w:rPr>
                <w:b/>
              </w:rPr>
              <w:t>Revision</w:t>
            </w:r>
            <w:proofErr w:type="spellEnd"/>
            <w:r w:rsidRPr="00A56791">
              <w:rPr>
                <w:b/>
              </w:rPr>
              <w:t>:</w:t>
            </w:r>
          </w:p>
        </w:tc>
        <w:tc>
          <w:tcPr>
            <w:tcW w:w="1506" w:type="dxa"/>
            <w:shd w:val="clear" w:color="auto" w:fill="B63422"/>
          </w:tcPr>
          <w:p w14:paraId="36B3C347" w14:textId="77777777" w:rsidR="00721D78" w:rsidRPr="00A56791" w:rsidRDefault="00721D78" w:rsidP="00D1060F">
            <w:pPr>
              <w:rPr>
                <w:b/>
              </w:rPr>
            </w:pPr>
            <w:proofErr w:type="spellStart"/>
            <w:r w:rsidRPr="00A56791">
              <w:rPr>
                <w:b/>
              </w:rPr>
              <w:t>Dat</w:t>
            </w:r>
            <w:r>
              <w:rPr>
                <w:b/>
              </w:rPr>
              <w:t>e</w:t>
            </w:r>
            <w:proofErr w:type="spellEnd"/>
            <w:r w:rsidRPr="00A56791">
              <w:rPr>
                <w:b/>
              </w:rPr>
              <w:t>:</w:t>
            </w:r>
          </w:p>
        </w:tc>
        <w:tc>
          <w:tcPr>
            <w:tcW w:w="1520" w:type="dxa"/>
            <w:shd w:val="clear" w:color="auto" w:fill="B63422"/>
          </w:tcPr>
          <w:p w14:paraId="29574BF1" w14:textId="77777777" w:rsidR="00721D78" w:rsidRPr="00A56791" w:rsidRDefault="00721D78" w:rsidP="00D1060F">
            <w:pPr>
              <w:rPr>
                <w:b/>
              </w:rPr>
            </w:pPr>
            <w:proofErr w:type="spellStart"/>
            <w:r>
              <w:rPr>
                <w:b/>
              </w:rPr>
              <w:t>Prepared</w:t>
            </w:r>
            <w:proofErr w:type="spellEnd"/>
            <w:r w:rsidRPr="00A56791">
              <w:rPr>
                <w:b/>
              </w:rPr>
              <w:t>:</w:t>
            </w:r>
          </w:p>
        </w:tc>
        <w:tc>
          <w:tcPr>
            <w:tcW w:w="1509" w:type="dxa"/>
            <w:shd w:val="clear" w:color="auto" w:fill="B63422"/>
          </w:tcPr>
          <w:p w14:paraId="15092B87" w14:textId="77777777" w:rsidR="00721D78" w:rsidRPr="00A56791" w:rsidRDefault="00721D78" w:rsidP="00D1060F">
            <w:pPr>
              <w:rPr>
                <w:b/>
              </w:rPr>
            </w:pPr>
            <w:proofErr w:type="spellStart"/>
            <w:r>
              <w:rPr>
                <w:b/>
              </w:rPr>
              <w:t>Reviewed</w:t>
            </w:r>
            <w:proofErr w:type="spellEnd"/>
            <w:r w:rsidRPr="00A56791">
              <w:rPr>
                <w:b/>
              </w:rPr>
              <w:t>:</w:t>
            </w:r>
          </w:p>
        </w:tc>
        <w:tc>
          <w:tcPr>
            <w:tcW w:w="1510" w:type="dxa"/>
            <w:shd w:val="clear" w:color="auto" w:fill="B63422"/>
          </w:tcPr>
          <w:p w14:paraId="1BD79EC1" w14:textId="77777777" w:rsidR="00721D78" w:rsidRPr="00A56791" w:rsidRDefault="00721D78" w:rsidP="00D1060F">
            <w:pPr>
              <w:rPr>
                <w:b/>
              </w:rPr>
            </w:pPr>
            <w:proofErr w:type="spellStart"/>
            <w:r>
              <w:rPr>
                <w:b/>
              </w:rPr>
              <w:t>Approved</w:t>
            </w:r>
            <w:proofErr w:type="spellEnd"/>
            <w:r w:rsidRPr="00A56791">
              <w:rPr>
                <w:b/>
              </w:rPr>
              <w:t>:</w:t>
            </w:r>
          </w:p>
        </w:tc>
        <w:tc>
          <w:tcPr>
            <w:tcW w:w="1510" w:type="dxa"/>
            <w:shd w:val="clear" w:color="auto" w:fill="B63422"/>
          </w:tcPr>
          <w:p w14:paraId="39F21B3E" w14:textId="77777777" w:rsidR="00721D78" w:rsidRPr="00A56791" w:rsidRDefault="00721D78" w:rsidP="00D1060F">
            <w:pPr>
              <w:rPr>
                <w:b/>
              </w:rPr>
            </w:pPr>
            <w:proofErr w:type="spellStart"/>
            <w:r>
              <w:rPr>
                <w:b/>
              </w:rPr>
              <w:t>Comment</w:t>
            </w:r>
            <w:proofErr w:type="spellEnd"/>
            <w:r w:rsidRPr="00A56791">
              <w:rPr>
                <w:b/>
              </w:rPr>
              <w:t>:</w:t>
            </w:r>
          </w:p>
        </w:tc>
      </w:tr>
      <w:tr w:rsidR="00721D78" w:rsidRPr="00653987" w14:paraId="3D9C85DA" w14:textId="77777777" w:rsidTr="00D1060F">
        <w:tc>
          <w:tcPr>
            <w:tcW w:w="1507" w:type="dxa"/>
          </w:tcPr>
          <w:p w14:paraId="1F21F5D6" w14:textId="77777777" w:rsidR="00721D78" w:rsidRPr="0073247A" w:rsidRDefault="00721D78" w:rsidP="00D1060F">
            <w:r>
              <w:t>0.0</w:t>
            </w:r>
          </w:p>
        </w:tc>
        <w:tc>
          <w:tcPr>
            <w:tcW w:w="1506" w:type="dxa"/>
          </w:tcPr>
          <w:p w14:paraId="74E0DA25" w14:textId="77777777" w:rsidR="00721D78" w:rsidRPr="0073247A" w:rsidRDefault="00721D78" w:rsidP="00D1060F">
            <w:r w:rsidRPr="0073247A">
              <w:t>202</w:t>
            </w:r>
            <w:r>
              <w:t>5</w:t>
            </w:r>
            <w:r w:rsidRPr="0073247A">
              <w:t>-</w:t>
            </w:r>
            <w:r>
              <w:t>06-13</w:t>
            </w:r>
          </w:p>
        </w:tc>
        <w:tc>
          <w:tcPr>
            <w:tcW w:w="1520" w:type="dxa"/>
          </w:tcPr>
          <w:p w14:paraId="711DC19D" w14:textId="77777777" w:rsidR="00721D78" w:rsidRPr="0073247A" w:rsidRDefault="00721D78" w:rsidP="00D1060F">
            <w:r>
              <w:t xml:space="preserve">Tomasz </w:t>
            </w:r>
            <w:proofErr w:type="spellStart"/>
            <w:r>
              <w:t>Wojcik</w:t>
            </w:r>
            <w:proofErr w:type="spellEnd"/>
          </w:p>
        </w:tc>
        <w:tc>
          <w:tcPr>
            <w:tcW w:w="1509" w:type="dxa"/>
          </w:tcPr>
          <w:p w14:paraId="1D998DC3" w14:textId="77777777" w:rsidR="00721D78" w:rsidRPr="0073247A" w:rsidRDefault="00721D78" w:rsidP="00D1060F">
            <w:r>
              <w:t>Rafał Żendarski</w:t>
            </w:r>
          </w:p>
        </w:tc>
        <w:tc>
          <w:tcPr>
            <w:tcW w:w="1510" w:type="dxa"/>
          </w:tcPr>
          <w:p w14:paraId="26E030B5" w14:textId="77777777" w:rsidR="00721D78" w:rsidRPr="0073247A" w:rsidRDefault="00721D78" w:rsidP="00D1060F">
            <w:r>
              <w:t>Łukasz Sikorski</w:t>
            </w:r>
          </w:p>
        </w:tc>
        <w:tc>
          <w:tcPr>
            <w:tcW w:w="1510" w:type="dxa"/>
          </w:tcPr>
          <w:p w14:paraId="01B95272" w14:textId="77777777" w:rsidR="00721D78" w:rsidRPr="006129C2" w:rsidRDefault="00721D78" w:rsidP="00D1060F">
            <w:pPr>
              <w:rPr>
                <w:lang w:val="en-GB"/>
              </w:rPr>
            </w:pPr>
            <w:r w:rsidRPr="006129C2">
              <w:rPr>
                <w:lang w:val="en-GB"/>
              </w:rPr>
              <w:t>To be sent to the market</w:t>
            </w:r>
          </w:p>
        </w:tc>
      </w:tr>
      <w:tr w:rsidR="00721D78" w:rsidRPr="00653987" w14:paraId="7D1749C3" w14:textId="77777777" w:rsidTr="00D1060F">
        <w:tc>
          <w:tcPr>
            <w:tcW w:w="1507" w:type="dxa"/>
          </w:tcPr>
          <w:p w14:paraId="38C7DD01" w14:textId="77777777" w:rsidR="00721D78" w:rsidRPr="00AF38D4" w:rsidRDefault="00721D78" w:rsidP="00D1060F">
            <w:pPr>
              <w:rPr>
                <w:lang w:val="en-GB"/>
              </w:rPr>
            </w:pPr>
          </w:p>
        </w:tc>
        <w:tc>
          <w:tcPr>
            <w:tcW w:w="1506" w:type="dxa"/>
          </w:tcPr>
          <w:p w14:paraId="667653EA" w14:textId="77777777" w:rsidR="00721D78" w:rsidRPr="00AF38D4" w:rsidRDefault="00721D78" w:rsidP="00D1060F">
            <w:pPr>
              <w:rPr>
                <w:lang w:val="en-GB"/>
              </w:rPr>
            </w:pPr>
          </w:p>
        </w:tc>
        <w:tc>
          <w:tcPr>
            <w:tcW w:w="1520" w:type="dxa"/>
          </w:tcPr>
          <w:p w14:paraId="647E2F11" w14:textId="77777777" w:rsidR="00721D78" w:rsidRPr="00AF38D4" w:rsidRDefault="00721D78" w:rsidP="00D1060F">
            <w:pPr>
              <w:rPr>
                <w:lang w:val="en-GB"/>
              </w:rPr>
            </w:pPr>
          </w:p>
        </w:tc>
        <w:tc>
          <w:tcPr>
            <w:tcW w:w="1509" w:type="dxa"/>
          </w:tcPr>
          <w:p w14:paraId="57E09111" w14:textId="77777777" w:rsidR="00721D78" w:rsidRPr="00AF38D4" w:rsidRDefault="00721D78" w:rsidP="00D1060F">
            <w:pPr>
              <w:rPr>
                <w:lang w:val="en-GB"/>
              </w:rPr>
            </w:pPr>
          </w:p>
        </w:tc>
        <w:tc>
          <w:tcPr>
            <w:tcW w:w="1510" w:type="dxa"/>
          </w:tcPr>
          <w:p w14:paraId="5D2A169C" w14:textId="77777777" w:rsidR="00721D78" w:rsidRPr="00AF38D4" w:rsidRDefault="00721D78" w:rsidP="00D1060F">
            <w:pPr>
              <w:rPr>
                <w:lang w:val="en-GB"/>
              </w:rPr>
            </w:pPr>
          </w:p>
        </w:tc>
        <w:tc>
          <w:tcPr>
            <w:tcW w:w="1510" w:type="dxa"/>
          </w:tcPr>
          <w:p w14:paraId="32B24BEB" w14:textId="77777777" w:rsidR="00721D78" w:rsidRPr="00AF38D4" w:rsidRDefault="00721D78" w:rsidP="00D1060F">
            <w:pPr>
              <w:rPr>
                <w:lang w:val="en-GB"/>
              </w:rPr>
            </w:pPr>
          </w:p>
        </w:tc>
      </w:tr>
      <w:tr w:rsidR="00721D78" w:rsidRPr="00653987" w14:paraId="12986B94" w14:textId="77777777" w:rsidTr="00D1060F">
        <w:tc>
          <w:tcPr>
            <w:tcW w:w="1507" w:type="dxa"/>
          </w:tcPr>
          <w:p w14:paraId="0175C46A" w14:textId="77777777" w:rsidR="00721D78" w:rsidRPr="00AF38D4" w:rsidRDefault="00721D78" w:rsidP="00D1060F">
            <w:pPr>
              <w:rPr>
                <w:lang w:val="en-GB"/>
              </w:rPr>
            </w:pPr>
          </w:p>
        </w:tc>
        <w:tc>
          <w:tcPr>
            <w:tcW w:w="1506" w:type="dxa"/>
          </w:tcPr>
          <w:p w14:paraId="1DFCD2AD" w14:textId="77777777" w:rsidR="00721D78" w:rsidRPr="00AF38D4" w:rsidRDefault="00721D78" w:rsidP="00D1060F">
            <w:pPr>
              <w:rPr>
                <w:lang w:val="en-GB"/>
              </w:rPr>
            </w:pPr>
          </w:p>
        </w:tc>
        <w:tc>
          <w:tcPr>
            <w:tcW w:w="1520" w:type="dxa"/>
          </w:tcPr>
          <w:p w14:paraId="072B0B39" w14:textId="77777777" w:rsidR="00721D78" w:rsidRPr="00AF38D4" w:rsidRDefault="00721D78" w:rsidP="00D1060F">
            <w:pPr>
              <w:rPr>
                <w:lang w:val="en-GB"/>
              </w:rPr>
            </w:pPr>
          </w:p>
        </w:tc>
        <w:tc>
          <w:tcPr>
            <w:tcW w:w="1509" w:type="dxa"/>
          </w:tcPr>
          <w:p w14:paraId="195A368E" w14:textId="77777777" w:rsidR="00721D78" w:rsidRPr="00AF38D4" w:rsidRDefault="00721D78" w:rsidP="00D1060F">
            <w:pPr>
              <w:rPr>
                <w:lang w:val="en-GB"/>
              </w:rPr>
            </w:pPr>
          </w:p>
        </w:tc>
        <w:tc>
          <w:tcPr>
            <w:tcW w:w="1510" w:type="dxa"/>
          </w:tcPr>
          <w:p w14:paraId="34EBA131" w14:textId="77777777" w:rsidR="00721D78" w:rsidRPr="00AF38D4" w:rsidRDefault="00721D78" w:rsidP="00D1060F">
            <w:pPr>
              <w:rPr>
                <w:lang w:val="en-GB"/>
              </w:rPr>
            </w:pPr>
          </w:p>
        </w:tc>
        <w:tc>
          <w:tcPr>
            <w:tcW w:w="1510" w:type="dxa"/>
          </w:tcPr>
          <w:p w14:paraId="4E93AE74" w14:textId="77777777" w:rsidR="00721D78" w:rsidRPr="00AF38D4" w:rsidRDefault="00721D78" w:rsidP="00D1060F">
            <w:pPr>
              <w:rPr>
                <w:lang w:val="en-GB"/>
              </w:rPr>
            </w:pPr>
          </w:p>
        </w:tc>
      </w:tr>
    </w:tbl>
    <w:p w14:paraId="7C63B6DF" w14:textId="77777777" w:rsidR="00721D78" w:rsidRDefault="00721D78" w:rsidP="00721D78">
      <w:pPr>
        <w:spacing w:line="276" w:lineRule="auto"/>
        <w:ind w:left="567" w:right="567" w:hanging="567"/>
        <w:jc w:val="center"/>
        <w:outlineLvl w:val="0"/>
        <w:rPr>
          <w:rFonts w:ascii="Arial" w:hAnsi="Arial" w:cs="Arial"/>
          <w:b/>
          <w:i/>
          <w:lang w:val="en-GB"/>
        </w:rPr>
      </w:pPr>
    </w:p>
    <w:p w14:paraId="186B8C5D" w14:textId="77777777" w:rsidR="00721D78" w:rsidRDefault="00721D78" w:rsidP="00721D78">
      <w:pPr>
        <w:spacing w:after="160" w:line="259" w:lineRule="auto"/>
        <w:rPr>
          <w:rFonts w:ascii="Arial" w:hAnsi="Arial" w:cs="Arial"/>
          <w:b/>
          <w:i/>
          <w:lang w:val="en-GB"/>
        </w:rPr>
      </w:pPr>
      <w:r>
        <w:rPr>
          <w:rFonts w:ascii="Arial" w:hAnsi="Arial" w:cs="Arial"/>
          <w:b/>
          <w:i/>
          <w:lang w:val="en-GB"/>
        </w:rPr>
        <w:br w:type="page"/>
      </w:r>
    </w:p>
    <w:sdt>
      <w:sdtPr>
        <w:rPr>
          <w:rFonts w:ascii="Times New Roman" w:eastAsia="Times New Roman" w:hAnsi="Times New Roman" w:cs="Times New Roman"/>
          <w:color w:val="auto"/>
          <w:sz w:val="20"/>
          <w:szCs w:val="20"/>
        </w:rPr>
        <w:id w:val="1057752933"/>
        <w:docPartObj>
          <w:docPartGallery w:val="Table of Contents"/>
          <w:docPartUnique/>
        </w:docPartObj>
      </w:sdtPr>
      <w:sdtEndPr>
        <w:rPr>
          <w:b/>
          <w:bCs/>
        </w:rPr>
      </w:sdtEndPr>
      <w:sdtContent>
        <w:p w14:paraId="1EA5014E" w14:textId="6247A6E6" w:rsidR="00BE6C50" w:rsidRDefault="00BE6C50">
          <w:pPr>
            <w:pStyle w:val="Nagwekspisutreci"/>
            <w:rPr>
              <w:rFonts w:ascii="Arial" w:hAnsi="Arial" w:cs="Arial"/>
              <w:b/>
              <w:color w:val="auto"/>
              <w:sz w:val="22"/>
              <w:szCs w:val="22"/>
            </w:rPr>
          </w:pPr>
          <w:proofErr w:type="spellStart"/>
          <w:r w:rsidRPr="00CB3496">
            <w:rPr>
              <w:rFonts w:ascii="Arial" w:hAnsi="Arial" w:cs="Arial"/>
              <w:b/>
              <w:color w:val="auto"/>
              <w:sz w:val="22"/>
              <w:szCs w:val="22"/>
            </w:rPr>
            <w:t>Table</w:t>
          </w:r>
          <w:proofErr w:type="spellEnd"/>
          <w:r w:rsidRPr="00CB3496">
            <w:rPr>
              <w:rFonts w:ascii="Arial" w:hAnsi="Arial" w:cs="Arial"/>
              <w:b/>
              <w:color w:val="auto"/>
              <w:sz w:val="22"/>
              <w:szCs w:val="22"/>
            </w:rPr>
            <w:t xml:space="preserve"> of </w:t>
          </w:r>
          <w:proofErr w:type="spellStart"/>
          <w:r w:rsidRPr="00CB3496">
            <w:rPr>
              <w:rFonts w:ascii="Arial" w:hAnsi="Arial" w:cs="Arial"/>
              <w:b/>
              <w:color w:val="auto"/>
              <w:sz w:val="22"/>
              <w:szCs w:val="22"/>
            </w:rPr>
            <w:t>content</w:t>
          </w:r>
          <w:proofErr w:type="spellEnd"/>
        </w:p>
        <w:p w14:paraId="71DAB75E" w14:textId="77777777" w:rsidR="00CB3496" w:rsidRPr="00CB3496" w:rsidRDefault="00CB3496" w:rsidP="00CB3496"/>
        <w:p w14:paraId="261227E7" w14:textId="31C8C02E" w:rsidR="00BE6C50" w:rsidRDefault="00BE6C50">
          <w:pPr>
            <w:pStyle w:val="Spistreci3"/>
            <w:tabs>
              <w:tab w:val="left" w:pos="880"/>
              <w:tab w:val="right" w:leader="dot" w:pos="9062"/>
            </w:tabs>
            <w:rPr>
              <w:noProof/>
            </w:rPr>
          </w:pPr>
          <w:r>
            <w:fldChar w:fldCharType="begin"/>
          </w:r>
          <w:r>
            <w:instrText xml:space="preserve"> TOC \o "1-3" \h \z \u </w:instrText>
          </w:r>
          <w:r>
            <w:fldChar w:fldCharType="separate"/>
          </w:r>
          <w:hyperlink w:anchor="_Toc203117207" w:history="1">
            <w:r w:rsidRPr="002F3EEA">
              <w:rPr>
                <w:rStyle w:val="Hipercze"/>
                <w:rFonts w:ascii="Arial" w:hAnsi="Arial" w:cs="Arial"/>
                <w:b/>
                <w:noProof/>
                <w:lang w:val="en-GB"/>
              </w:rPr>
              <w:t>1.</w:t>
            </w:r>
            <w:r>
              <w:rPr>
                <w:noProof/>
              </w:rPr>
              <w:tab/>
            </w:r>
            <w:r w:rsidRPr="002F3EEA">
              <w:rPr>
                <w:rStyle w:val="Hipercze"/>
                <w:rFonts w:ascii="Arial" w:hAnsi="Arial" w:cs="Arial"/>
                <w:b/>
                <w:noProof/>
                <w:lang w:val="en-GB"/>
              </w:rPr>
              <w:t>ORLEN S.A. and ORLEN Neptun as the investor</w:t>
            </w:r>
            <w:r>
              <w:rPr>
                <w:noProof/>
                <w:webHidden/>
              </w:rPr>
              <w:tab/>
            </w:r>
            <w:r>
              <w:rPr>
                <w:noProof/>
                <w:webHidden/>
              </w:rPr>
              <w:fldChar w:fldCharType="begin"/>
            </w:r>
            <w:r>
              <w:rPr>
                <w:noProof/>
                <w:webHidden/>
              </w:rPr>
              <w:instrText xml:space="preserve"> PAGEREF _Toc203117207 \h </w:instrText>
            </w:r>
            <w:r>
              <w:rPr>
                <w:noProof/>
                <w:webHidden/>
              </w:rPr>
            </w:r>
            <w:r>
              <w:rPr>
                <w:noProof/>
                <w:webHidden/>
              </w:rPr>
              <w:fldChar w:fldCharType="separate"/>
            </w:r>
            <w:r w:rsidR="00CB3496">
              <w:rPr>
                <w:noProof/>
                <w:webHidden/>
              </w:rPr>
              <w:t>3</w:t>
            </w:r>
            <w:r>
              <w:rPr>
                <w:noProof/>
                <w:webHidden/>
              </w:rPr>
              <w:fldChar w:fldCharType="end"/>
            </w:r>
          </w:hyperlink>
        </w:p>
        <w:p w14:paraId="21918A08" w14:textId="05B44713" w:rsidR="00BE6C50" w:rsidRDefault="00F543E7">
          <w:pPr>
            <w:pStyle w:val="Spistreci3"/>
            <w:tabs>
              <w:tab w:val="left" w:pos="880"/>
              <w:tab w:val="right" w:leader="dot" w:pos="9062"/>
            </w:tabs>
            <w:rPr>
              <w:noProof/>
            </w:rPr>
          </w:pPr>
          <w:hyperlink w:anchor="_Toc203117208" w:history="1">
            <w:r w:rsidR="00BE6C50" w:rsidRPr="002F3EEA">
              <w:rPr>
                <w:rStyle w:val="Hipercze"/>
                <w:rFonts w:ascii="Arial" w:hAnsi="Arial" w:cs="Arial"/>
                <w:b/>
                <w:noProof/>
                <w:lang w:val="en-GB"/>
              </w:rPr>
              <w:t>2.</w:t>
            </w:r>
            <w:r w:rsidR="00BE6C50">
              <w:rPr>
                <w:noProof/>
              </w:rPr>
              <w:tab/>
            </w:r>
            <w:r w:rsidR="00BE6C50" w:rsidRPr="002F3EEA">
              <w:rPr>
                <w:rStyle w:val="Hipercze"/>
                <w:rFonts w:ascii="Arial" w:hAnsi="Arial" w:cs="Arial"/>
                <w:b/>
                <w:noProof/>
                <w:lang w:val="en-GB"/>
              </w:rPr>
              <w:t>Project business environment</w:t>
            </w:r>
            <w:r w:rsidR="00BE6C50">
              <w:rPr>
                <w:noProof/>
                <w:webHidden/>
              </w:rPr>
              <w:tab/>
            </w:r>
            <w:r w:rsidR="00BE6C50">
              <w:rPr>
                <w:noProof/>
                <w:webHidden/>
              </w:rPr>
              <w:fldChar w:fldCharType="begin"/>
            </w:r>
            <w:r w:rsidR="00BE6C50">
              <w:rPr>
                <w:noProof/>
                <w:webHidden/>
              </w:rPr>
              <w:instrText xml:space="preserve"> PAGEREF _Toc203117208 \h </w:instrText>
            </w:r>
            <w:r w:rsidR="00BE6C50">
              <w:rPr>
                <w:noProof/>
                <w:webHidden/>
              </w:rPr>
            </w:r>
            <w:r w:rsidR="00BE6C50">
              <w:rPr>
                <w:noProof/>
                <w:webHidden/>
              </w:rPr>
              <w:fldChar w:fldCharType="separate"/>
            </w:r>
            <w:r w:rsidR="00CB3496">
              <w:rPr>
                <w:noProof/>
                <w:webHidden/>
              </w:rPr>
              <w:t>4</w:t>
            </w:r>
            <w:r w:rsidR="00BE6C50">
              <w:rPr>
                <w:noProof/>
                <w:webHidden/>
              </w:rPr>
              <w:fldChar w:fldCharType="end"/>
            </w:r>
          </w:hyperlink>
        </w:p>
        <w:p w14:paraId="676928D3" w14:textId="4AF2F0BD" w:rsidR="00BE6C50" w:rsidRDefault="00F543E7">
          <w:pPr>
            <w:pStyle w:val="Spistreci3"/>
            <w:tabs>
              <w:tab w:val="left" w:pos="880"/>
              <w:tab w:val="right" w:leader="dot" w:pos="9062"/>
            </w:tabs>
            <w:rPr>
              <w:noProof/>
            </w:rPr>
          </w:pPr>
          <w:hyperlink w:anchor="_Toc203117209" w:history="1">
            <w:r w:rsidR="00BE6C50" w:rsidRPr="002F3EEA">
              <w:rPr>
                <w:rStyle w:val="Hipercze"/>
                <w:rFonts w:ascii="Arial" w:hAnsi="Arial" w:cs="Arial"/>
                <w:b/>
                <w:noProof/>
                <w:lang w:val="en-GB"/>
              </w:rPr>
              <w:t>3.</w:t>
            </w:r>
            <w:r w:rsidR="00BE6C50">
              <w:rPr>
                <w:noProof/>
              </w:rPr>
              <w:tab/>
            </w:r>
            <w:r w:rsidR="00BE6C50" w:rsidRPr="002F3EEA">
              <w:rPr>
                <w:rStyle w:val="Hipercze"/>
                <w:rFonts w:ascii="Arial" w:hAnsi="Arial" w:cs="Arial"/>
                <w:b/>
                <w:noProof/>
                <w:lang w:val="en-GB"/>
              </w:rPr>
              <w:t>Project support system</w:t>
            </w:r>
            <w:r w:rsidR="00BE6C50">
              <w:rPr>
                <w:noProof/>
                <w:webHidden/>
              </w:rPr>
              <w:tab/>
            </w:r>
            <w:r w:rsidR="00BE6C50">
              <w:rPr>
                <w:noProof/>
                <w:webHidden/>
              </w:rPr>
              <w:fldChar w:fldCharType="begin"/>
            </w:r>
            <w:r w:rsidR="00BE6C50">
              <w:rPr>
                <w:noProof/>
                <w:webHidden/>
              </w:rPr>
              <w:instrText xml:space="preserve"> PAGEREF _Toc203117209 \h </w:instrText>
            </w:r>
            <w:r w:rsidR="00BE6C50">
              <w:rPr>
                <w:noProof/>
                <w:webHidden/>
              </w:rPr>
            </w:r>
            <w:r w:rsidR="00BE6C50">
              <w:rPr>
                <w:noProof/>
                <w:webHidden/>
              </w:rPr>
              <w:fldChar w:fldCharType="separate"/>
            </w:r>
            <w:r w:rsidR="00CB3496">
              <w:rPr>
                <w:noProof/>
                <w:webHidden/>
              </w:rPr>
              <w:t>5</w:t>
            </w:r>
            <w:r w:rsidR="00BE6C50">
              <w:rPr>
                <w:noProof/>
                <w:webHidden/>
              </w:rPr>
              <w:fldChar w:fldCharType="end"/>
            </w:r>
          </w:hyperlink>
        </w:p>
        <w:p w14:paraId="48501146" w14:textId="57CB0058" w:rsidR="00BE6C50" w:rsidRDefault="00F543E7">
          <w:pPr>
            <w:pStyle w:val="Spistreci3"/>
            <w:tabs>
              <w:tab w:val="left" w:pos="880"/>
              <w:tab w:val="right" w:leader="dot" w:pos="9062"/>
            </w:tabs>
            <w:rPr>
              <w:noProof/>
            </w:rPr>
          </w:pPr>
          <w:hyperlink w:anchor="_Toc203117210" w:history="1">
            <w:r w:rsidR="00BE6C50" w:rsidRPr="002F3EEA">
              <w:rPr>
                <w:rStyle w:val="Hipercze"/>
                <w:rFonts w:ascii="Arial" w:hAnsi="Arial" w:cs="Arial"/>
                <w:b/>
                <w:noProof/>
                <w:lang w:val="en-GB"/>
              </w:rPr>
              <w:t>4.</w:t>
            </w:r>
            <w:r w:rsidR="00BE6C50">
              <w:rPr>
                <w:noProof/>
              </w:rPr>
              <w:tab/>
            </w:r>
            <w:r w:rsidR="00BE6C50" w:rsidRPr="002F3EEA">
              <w:rPr>
                <w:rStyle w:val="Hipercze"/>
                <w:rFonts w:ascii="Arial" w:hAnsi="Arial" w:cs="Arial"/>
                <w:b/>
                <w:noProof/>
                <w:lang w:val="en-GB"/>
              </w:rPr>
              <w:t>Location of Baltic East project</w:t>
            </w:r>
            <w:r w:rsidR="00BE6C50">
              <w:rPr>
                <w:noProof/>
                <w:webHidden/>
              </w:rPr>
              <w:tab/>
            </w:r>
            <w:r w:rsidR="00BE6C50">
              <w:rPr>
                <w:noProof/>
                <w:webHidden/>
              </w:rPr>
              <w:fldChar w:fldCharType="begin"/>
            </w:r>
            <w:r w:rsidR="00BE6C50">
              <w:rPr>
                <w:noProof/>
                <w:webHidden/>
              </w:rPr>
              <w:instrText xml:space="preserve"> PAGEREF _Toc203117210 \h </w:instrText>
            </w:r>
            <w:r w:rsidR="00BE6C50">
              <w:rPr>
                <w:noProof/>
                <w:webHidden/>
              </w:rPr>
            </w:r>
            <w:r w:rsidR="00BE6C50">
              <w:rPr>
                <w:noProof/>
                <w:webHidden/>
              </w:rPr>
              <w:fldChar w:fldCharType="separate"/>
            </w:r>
            <w:r w:rsidR="00CB3496">
              <w:rPr>
                <w:noProof/>
                <w:webHidden/>
              </w:rPr>
              <w:t>5</w:t>
            </w:r>
            <w:r w:rsidR="00BE6C50">
              <w:rPr>
                <w:noProof/>
                <w:webHidden/>
              </w:rPr>
              <w:fldChar w:fldCharType="end"/>
            </w:r>
          </w:hyperlink>
        </w:p>
        <w:p w14:paraId="42B3967A" w14:textId="22A42A78" w:rsidR="00BE6C50" w:rsidRDefault="00F543E7">
          <w:pPr>
            <w:pStyle w:val="Spistreci3"/>
            <w:tabs>
              <w:tab w:val="left" w:pos="880"/>
              <w:tab w:val="right" w:leader="dot" w:pos="9062"/>
            </w:tabs>
            <w:rPr>
              <w:noProof/>
            </w:rPr>
          </w:pPr>
          <w:hyperlink w:anchor="_Toc203117211" w:history="1">
            <w:r w:rsidR="00BE6C50" w:rsidRPr="002F3EEA">
              <w:rPr>
                <w:rStyle w:val="Hipercze"/>
                <w:rFonts w:ascii="Arial" w:hAnsi="Arial" w:cs="Arial"/>
                <w:b/>
                <w:noProof/>
                <w:lang w:val="en-GB"/>
              </w:rPr>
              <w:t>5.</w:t>
            </w:r>
            <w:r w:rsidR="00BE6C50">
              <w:rPr>
                <w:noProof/>
              </w:rPr>
              <w:tab/>
            </w:r>
            <w:r w:rsidR="00BE6C50" w:rsidRPr="002F3EEA">
              <w:rPr>
                <w:rStyle w:val="Hipercze"/>
                <w:rFonts w:ascii="Arial" w:hAnsi="Arial" w:cs="Arial"/>
                <w:b/>
                <w:noProof/>
                <w:lang w:val="en-GB"/>
              </w:rPr>
              <w:t>Project Status and Key Dates</w:t>
            </w:r>
            <w:r w:rsidR="00BE6C50">
              <w:rPr>
                <w:noProof/>
                <w:webHidden/>
              </w:rPr>
              <w:tab/>
            </w:r>
            <w:r w:rsidR="00BE6C50">
              <w:rPr>
                <w:noProof/>
                <w:webHidden/>
              </w:rPr>
              <w:fldChar w:fldCharType="begin"/>
            </w:r>
            <w:r w:rsidR="00BE6C50">
              <w:rPr>
                <w:noProof/>
                <w:webHidden/>
              </w:rPr>
              <w:instrText xml:space="preserve"> PAGEREF _Toc203117211 \h </w:instrText>
            </w:r>
            <w:r w:rsidR="00BE6C50">
              <w:rPr>
                <w:noProof/>
                <w:webHidden/>
              </w:rPr>
            </w:r>
            <w:r w:rsidR="00BE6C50">
              <w:rPr>
                <w:noProof/>
                <w:webHidden/>
              </w:rPr>
              <w:fldChar w:fldCharType="separate"/>
            </w:r>
            <w:r w:rsidR="00CB3496">
              <w:rPr>
                <w:noProof/>
                <w:webHidden/>
              </w:rPr>
              <w:t>6</w:t>
            </w:r>
            <w:r w:rsidR="00BE6C50">
              <w:rPr>
                <w:noProof/>
                <w:webHidden/>
              </w:rPr>
              <w:fldChar w:fldCharType="end"/>
            </w:r>
          </w:hyperlink>
        </w:p>
        <w:p w14:paraId="7EA09D4F" w14:textId="4490D21A" w:rsidR="00BE6C50" w:rsidRDefault="00F543E7">
          <w:pPr>
            <w:pStyle w:val="Spistreci3"/>
            <w:tabs>
              <w:tab w:val="left" w:pos="880"/>
              <w:tab w:val="right" w:leader="dot" w:pos="9062"/>
            </w:tabs>
            <w:rPr>
              <w:noProof/>
            </w:rPr>
          </w:pPr>
          <w:hyperlink w:anchor="_Toc203117212" w:history="1">
            <w:r w:rsidR="00BE6C50" w:rsidRPr="002F3EEA">
              <w:rPr>
                <w:rStyle w:val="Hipercze"/>
                <w:rFonts w:ascii="Arial" w:hAnsi="Arial" w:cs="Arial"/>
                <w:b/>
                <w:noProof/>
                <w:lang w:val="en-GB"/>
              </w:rPr>
              <w:t>6.</w:t>
            </w:r>
            <w:r w:rsidR="00BE6C50">
              <w:rPr>
                <w:noProof/>
              </w:rPr>
              <w:tab/>
            </w:r>
            <w:r w:rsidR="00BE6C50" w:rsidRPr="002F3EEA">
              <w:rPr>
                <w:rStyle w:val="Hipercze"/>
                <w:rFonts w:ascii="Arial" w:hAnsi="Arial" w:cs="Arial"/>
                <w:b/>
                <w:noProof/>
                <w:lang w:val="en-GB"/>
              </w:rPr>
              <w:t>Project technical assumptions</w:t>
            </w:r>
            <w:r w:rsidR="00BE6C50">
              <w:rPr>
                <w:noProof/>
                <w:webHidden/>
              </w:rPr>
              <w:tab/>
            </w:r>
            <w:r w:rsidR="00BE6C50">
              <w:rPr>
                <w:noProof/>
                <w:webHidden/>
              </w:rPr>
              <w:fldChar w:fldCharType="begin"/>
            </w:r>
            <w:r w:rsidR="00BE6C50">
              <w:rPr>
                <w:noProof/>
                <w:webHidden/>
              </w:rPr>
              <w:instrText xml:space="preserve"> PAGEREF _Toc203117212 \h </w:instrText>
            </w:r>
            <w:r w:rsidR="00BE6C50">
              <w:rPr>
                <w:noProof/>
                <w:webHidden/>
              </w:rPr>
            </w:r>
            <w:r w:rsidR="00BE6C50">
              <w:rPr>
                <w:noProof/>
                <w:webHidden/>
              </w:rPr>
              <w:fldChar w:fldCharType="separate"/>
            </w:r>
            <w:r w:rsidR="00CB3496">
              <w:rPr>
                <w:noProof/>
                <w:webHidden/>
              </w:rPr>
              <w:t>7</w:t>
            </w:r>
            <w:r w:rsidR="00BE6C50">
              <w:rPr>
                <w:noProof/>
                <w:webHidden/>
              </w:rPr>
              <w:fldChar w:fldCharType="end"/>
            </w:r>
          </w:hyperlink>
        </w:p>
        <w:p w14:paraId="72BFDB7A" w14:textId="58C7E3E7" w:rsidR="00BE6C50" w:rsidRDefault="00F543E7">
          <w:pPr>
            <w:pStyle w:val="Spistreci3"/>
            <w:tabs>
              <w:tab w:val="left" w:pos="880"/>
              <w:tab w:val="right" w:leader="dot" w:pos="9062"/>
            </w:tabs>
            <w:rPr>
              <w:noProof/>
            </w:rPr>
          </w:pPr>
          <w:hyperlink w:anchor="_Toc203117213" w:history="1">
            <w:r w:rsidR="00BE6C50" w:rsidRPr="002F3EEA">
              <w:rPr>
                <w:rStyle w:val="Hipercze"/>
                <w:rFonts w:ascii="Arial" w:hAnsi="Arial" w:cs="Arial"/>
                <w:b/>
                <w:noProof/>
                <w:lang w:val="en-GB"/>
              </w:rPr>
              <w:t>7.</w:t>
            </w:r>
            <w:r w:rsidR="00BE6C50">
              <w:rPr>
                <w:noProof/>
              </w:rPr>
              <w:tab/>
            </w:r>
            <w:r w:rsidR="00BE6C50" w:rsidRPr="002F3EEA">
              <w:rPr>
                <w:rStyle w:val="Hipercze"/>
                <w:rFonts w:ascii="Arial" w:hAnsi="Arial" w:cs="Arial"/>
                <w:b/>
                <w:noProof/>
                <w:lang w:val="en-GB"/>
              </w:rPr>
              <w:t>Project wind, current, tidal, environmental and soil conditions</w:t>
            </w:r>
            <w:r w:rsidR="00BE6C50">
              <w:rPr>
                <w:noProof/>
                <w:webHidden/>
              </w:rPr>
              <w:tab/>
            </w:r>
            <w:r w:rsidR="00BE6C50">
              <w:rPr>
                <w:noProof/>
                <w:webHidden/>
              </w:rPr>
              <w:fldChar w:fldCharType="begin"/>
            </w:r>
            <w:r w:rsidR="00BE6C50">
              <w:rPr>
                <w:noProof/>
                <w:webHidden/>
              </w:rPr>
              <w:instrText xml:space="preserve"> PAGEREF _Toc203117213 \h </w:instrText>
            </w:r>
            <w:r w:rsidR="00BE6C50">
              <w:rPr>
                <w:noProof/>
                <w:webHidden/>
              </w:rPr>
            </w:r>
            <w:r w:rsidR="00BE6C50">
              <w:rPr>
                <w:noProof/>
                <w:webHidden/>
              </w:rPr>
              <w:fldChar w:fldCharType="separate"/>
            </w:r>
            <w:r w:rsidR="00CB3496">
              <w:rPr>
                <w:noProof/>
                <w:webHidden/>
              </w:rPr>
              <w:t>7</w:t>
            </w:r>
            <w:r w:rsidR="00BE6C50">
              <w:rPr>
                <w:noProof/>
                <w:webHidden/>
              </w:rPr>
              <w:fldChar w:fldCharType="end"/>
            </w:r>
          </w:hyperlink>
        </w:p>
        <w:p w14:paraId="3B2FD831" w14:textId="13019FCC" w:rsidR="00BE6C50" w:rsidRDefault="00BE6C50">
          <w:r>
            <w:rPr>
              <w:b/>
              <w:bCs/>
            </w:rPr>
            <w:fldChar w:fldCharType="end"/>
          </w:r>
        </w:p>
      </w:sdtContent>
    </w:sdt>
    <w:p w14:paraId="0916A063" w14:textId="77777777" w:rsidR="00721D78" w:rsidRPr="00721D78" w:rsidRDefault="00721D78" w:rsidP="00721D78">
      <w:pPr>
        <w:pStyle w:val="Akapitzlist"/>
        <w:ind w:left="1146"/>
        <w:jc w:val="both"/>
        <w:outlineLvl w:val="2"/>
        <w:rPr>
          <w:rFonts w:ascii="Arial" w:hAnsi="Arial" w:cs="Arial"/>
          <w:b/>
          <w:u w:val="single"/>
          <w:lang w:val="en-GB"/>
        </w:rPr>
      </w:pPr>
    </w:p>
    <w:p w14:paraId="54480A89" w14:textId="073755E4" w:rsidR="00721D78" w:rsidRDefault="00721D78" w:rsidP="00721D78">
      <w:pPr>
        <w:pStyle w:val="Akapitzlist"/>
        <w:ind w:left="1146"/>
        <w:jc w:val="both"/>
        <w:outlineLvl w:val="2"/>
        <w:rPr>
          <w:rFonts w:ascii="Arial" w:hAnsi="Arial" w:cs="Arial"/>
          <w:b/>
          <w:u w:val="single"/>
          <w:lang w:val="en-GB"/>
        </w:rPr>
      </w:pPr>
    </w:p>
    <w:p w14:paraId="70E6BC74" w14:textId="281A006C" w:rsidR="00BE6C50" w:rsidRDefault="00BE6C50" w:rsidP="00721D78">
      <w:pPr>
        <w:pStyle w:val="Akapitzlist"/>
        <w:ind w:left="1146"/>
        <w:jc w:val="both"/>
        <w:outlineLvl w:val="2"/>
        <w:rPr>
          <w:rFonts w:ascii="Arial" w:hAnsi="Arial" w:cs="Arial"/>
          <w:b/>
          <w:u w:val="single"/>
          <w:lang w:val="en-GB"/>
        </w:rPr>
      </w:pPr>
    </w:p>
    <w:p w14:paraId="088EE75C" w14:textId="6D4E69C5" w:rsidR="00BE6C50" w:rsidRDefault="00BE6C50" w:rsidP="00721D78">
      <w:pPr>
        <w:pStyle w:val="Akapitzlist"/>
        <w:ind w:left="1146"/>
        <w:jc w:val="both"/>
        <w:outlineLvl w:val="2"/>
        <w:rPr>
          <w:rFonts w:ascii="Arial" w:hAnsi="Arial" w:cs="Arial"/>
          <w:b/>
          <w:u w:val="single"/>
          <w:lang w:val="en-GB"/>
        </w:rPr>
      </w:pPr>
    </w:p>
    <w:p w14:paraId="743C90FE" w14:textId="529345CD" w:rsidR="00BE6C50" w:rsidRDefault="00BE6C50" w:rsidP="00721D78">
      <w:pPr>
        <w:pStyle w:val="Akapitzlist"/>
        <w:ind w:left="1146"/>
        <w:jc w:val="both"/>
        <w:outlineLvl w:val="2"/>
        <w:rPr>
          <w:rFonts w:ascii="Arial" w:hAnsi="Arial" w:cs="Arial"/>
          <w:b/>
          <w:u w:val="single"/>
          <w:lang w:val="en-GB"/>
        </w:rPr>
      </w:pPr>
    </w:p>
    <w:p w14:paraId="76E9A81B" w14:textId="7CE2FD74" w:rsidR="00BE6C50" w:rsidRDefault="00BE6C50" w:rsidP="00721D78">
      <w:pPr>
        <w:pStyle w:val="Akapitzlist"/>
        <w:ind w:left="1146"/>
        <w:jc w:val="both"/>
        <w:outlineLvl w:val="2"/>
        <w:rPr>
          <w:rFonts w:ascii="Arial" w:hAnsi="Arial" w:cs="Arial"/>
          <w:b/>
          <w:u w:val="single"/>
          <w:lang w:val="en-GB"/>
        </w:rPr>
      </w:pPr>
    </w:p>
    <w:p w14:paraId="2B224FD7" w14:textId="5E5DB8F4" w:rsidR="00BE6C50" w:rsidRDefault="00BE6C50" w:rsidP="00721D78">
      <w:pPr>
        <w:pStyle w:val="Akapitzlist"/>
        <w:ind w:left="1146"/>
        <w:jc w:val="both"/>
        <w:outlineLvl w:val="2"/>
        <w:rPr>
          <w:rFonts w:ascii="Arial" w:hAnsi="Arial" w:cs="Arial"/>
          <w:b/>
          <w:u w:val="single"/>
          <w:lang w:val="en-GB"/>
        </w:rPr>
      </w:pPr>
    </w:p>
    <w:p w14:paraId="4C8D5E47" w14:textId="6666AA60" w:rsidR="00BE6C50" w:rsidRDefault="00BE6C50" w:rsidP="00721D78">
      <w:pPr>
        <w:pStyle w:val="Akapitzlist"/>
        <w:ind w:left="1146"/>
        <w:jc w:val="both"/>
        <w:outlineLvl w:val="2"/>
        <w:rPr>
          <w:rFonts w:ascii="Arial" w:hAnsi="Arial" w:cs="Arial"/>
          <w:b/>
          <w:u w:val="single"/>
          <w:lang w:val="en-GB"/>
        </w:rPr>
      </w:pPr>
    </w:p>
    <w:p w14:paraId="0BA303E3" w14:textId="07D8DB3C" w:rsidR="00BE6C50" w:rsidRDefault="00BE6C50" w:rsidP="00721D78">
      <w:pPr>
        <w:pStyle w:val="Akapitzlist"/>
        <w:ind w:left="1146"/>
        <w:jc w:val="both"/>
        <w:outlineLvl w:val="2"/>
        <w:rPr>
          <w:rFonts w:ascii="Arial" w:hAnsi="Arial" w:cs="Arial"/>
          <w:b/>
          <w:u w:val="single"/>
          <w:lang w:val="en-GB"/>
        </w:rPr>
      </w:pPr>
    </w:p>
    <w:p w14:paraId="255F3004" w14:textId="4FC1CB2A" w:rsidR="00BE6C50" w:rsidRDefault="00BE6C50" w:rsidP="00721D78">
      <w:pPr>
        <w:pStyle w:val="Akapitzlist"/>
        <w:ind w:left="1146"/>
        <w:jc w:val="both"/>
        <w:outlineLvl w:val="2"/>
        <w:rPr>
          <w:rFonts w:ascii="Arial" w:hAnsi="Arial" w:cs="Arial"/>
          <w:b/>
          <w:u w:val="single"/>
          <w:lang w:val="en-GB"/>
        </w:rPr>
      </w:pPr>
    </w:p>
    <w:p w14:paraId="589BEF8F" w14:textId="714230F7" w:rsidR="00BE6C50" w:rsidRDefault="00BE6C50" w:rsidP="00721D78">
      <w:pPr>
        <w:pStyle w:val="Akapitzlist"/>
        <w:ind w:left="1146"/>
        <w:jc w:val="both"/>
        <w:outlineLvl w:val="2"/>
        <w:rPr>
          <w:rFonts w:ascii="Arial" w:hAnsi="Arial" w:cs="Arial"/>
          <w:b/>
          <w:u w:val="single"/>
          <w:lang w:val="en-GB"/>
        </w:rPr>
      </w:pPr>
    </w:p>
    <w:p w14:paraId="135D62C7" w14:textId="00A32744" w:rsidR="00BE6C50" w:rsidRDefault="00BE6C50" w:rsidP="00721D78">
      <w:pPr>
        <w:pStyle w:val="Akapitzlist"/>
        <w:ind w:left="1146"/>
        <w:jc w:val="both"/>
        <w:outlineLvl w:val="2"/>
        <w:rPr>
          <w:rFonts w:ascii="Arial" w:hAnsi="Arial" w:cs="Arial"/>
          <w:b/>
          <w:u w:val="single"/>
          <w:lang w:val="en-GB"/>
        </w:rPr>
      </w:pPr>
    </w:p>
    <w:p w14:paraId="0E260D4F" w14:textId="64D94C9D" w:rsidR="00BE6C50" w:rsidRDefault="00BE6C50" w:rsidP="00721D78">
      <w:pPr>
        <w:pStyle w:val="Akapitzlist"/>
        <w:ind w:left="1146"/>
        <w:jc w:val="both"/>
        <w:outlineLvl w:val="2"/>
        <w:rPr>
          <w:rFonts w:ascii="Arial" w:hAnsi="Arial" w:cs="Arial"/>
          <w:b/>
          <w:u w:val="single"/>
          <w:lang w:val="en-GB"/>
        </w:rPr>
      </w:pPr>
    </w:p>
    <w:p w14:paraId="7F5D2239" w14:textId="32F6DE8B" w:rsidR="00BE6C50" w:rsidRDefault="00BE6C50" w:rsidP="00721D78">
      <w:pPr>
        <w:pStyle w:val="Akapitzlist"/>
        <w:ind w:left="1146"/>
        <w:jc w:val="both"/>
        <w:outlineLvl w:val="2"/>
        <w:rPr>
          <w:rFonts w:ascii="Arial" w:hAnsi="Arial" w:cs="Arial"/>
          <w:b/>
          <w:u w:val="single"/>
          <w:lang w:val="en-GB"/>
        </w:rPr>
      </w:pPr>
    </w:p>
    <w:p w14:paraId="43C43B76" w14:textId="5A29E3D9" w:rsidR="00BE6C50" w:rsidRDefault="00BE6C50" w:rsidP="00721D78">
      <w:pPr>
        <w:pStyle w:val="Akapitzlist"/>
        <w:ind w:left="1146"/>
        <w:jc w:val="both"/>
        <w:outlineLvl w:val="2"/>
        <w:rPr>
          <w:rFonts w:ascii="Arial" w:hAnsi="Arial" w:cs="Arial"/>
          <w:b/>
          <w:u w:val="single"/>
          <w:lang w:val="en-GB"/>
        </w:rPr>
      </w:pPr>
    </w:p>
    <w:p w14:paraId="1416EEB3" w14:textId="4ED00DF6" w:rsidR="00BE6C50" w:rsidRDefault="00BE6C50" w:rsidP="00721D78">
      <w:pPr>
        <w:pStyle w:val="Akapitzlist"/>
        <w:ind w:left="1146"/>
        <w:jc w:val="both"/>
        <w:outlineLvl w:val="2"/>
        <w:rPr>
          <w:rFonts w:ascii="Arial" w:hAnsi="Arial" w:cs="Arial"/>
          <w:b/>
          <w:u w:val="single"/>
          <w:lang w:val="en-GB"/>
        </w:rPr>
      </w:pPr>
    </w:p>
    <w:p w14:paraId="1EB47468" w14:textId="0BE26BB0" w:rsidR="00BE6C50" w:rsidRDefault="00BE6C50" w:rsidP="00721D78">
      <w:pPr>
        <w:pStyle w:val="Akapitzlist"/>
        <w:ind w:left="1146"/>
        <w:jc w:val="both"/>
        <w:outlineLvl w:val="2"/>
        <w:rPr>
          <w:rFonts w:ascii="Arial" w:hAnsi="Arial" w:cs="Arial"/>
          <w:b/>
          <w:u w:val="single"/>
          <w:lang w:val="en-GB"/>
        </w:rPr>
      </w:pPr>
    </w:p>
    <w:p w14:paraId="0849F15E" w14:textId="17BD5FFE" w:rsidR="00BE6C50" w:rsidRDefault="00BE6C50" w:rsidP="00721D78">
      <w:pPr>
        <w:pStyle w:val="Akapitzlist"/>
        <w:ind w:left="1146"/>
        <w:jc w:val="both"/>
        <w:outlineLvl w:val="2"/>
        <w:rPr>
          <w:rFonts w:ascii="Arial" w:hAnsi="Arial" w:cs="Arial"/>
          <w:b/>
          <w:u w:val="single"/>
          <w:lang w:val="en-GB"/>
        </w:rPr>
      </w:pPr>
    </w:p>
    <w:p w14:paraId="571859A1" w14:textId="5C3364D5" w:rsidR="00BE6C50" w:rsidRDefault="00BE6C50" w:rsidP="00721D78">
      <w:pPr>
        <w:pStyle w:val="Akapitzlist"/>
        <w:ind w:left="1146"/>
        <w:jc w:val="both"/>
        <w:outlineLvl w:val="2"/>
        <w:rPr>
          <w:rFonts w:ascii="Arial" w:hAnsi="Arial" w:cs="Arial"/>
          <w:b/>
          <w:u w:val="single"/>
          <w:lang w:val="en-GB"/>
        </w:rPr>
      </w:pPr>
    </w:p>
    <w:p w14:paraId="3AB01612" w14:textId="104B9073" w:rsidR="00BE6C50" w:rsidRDefault="00BE6C50" w:rsidP="00721D78">
      <w:pPr>
        <w:pStyle w:val="Akapitzlist"/>
        <w:ind w:left="1146"/>
        <w:jc w:val="both"/>
        <w:outlineLvl w:val="2"/>
        <w:rPr>
          <w:rFonts w:ascii="Arial" w:hAnsi="Arial" w:cs="Arial"/>
          <w:b/>
          <w:u w:val="single"/>
          <w:lang w:val="en-GB"/>
        </w:rPr>
      </w:pPr>
    </w:p>
    <w:p w14:paraId="3DF1526F" w14:textId="6DF4512D" w:rsidR="00BE6C50" w:rsidRDefault="00BE6C50" w:rsidP="00721D78">
      <w:pPr>
        <w:pStyle w:val="Akapitzlist"/>
        <w:ind w:left="1146"/>
        <w:jc w:val="both"/>
        <w:outlineLvl w:val="2"/>
        <w:rPr>
          <w:rFonts w:ascii="Arial" w:hAnsi="Arial" w:cs="Arial"/>
          <w:b/>
          <w:u w:val="single"/>
          <w:lang w:val="en-GB"/>
        </w:rPr>
      </w:pPr>
    </w:p>
    <w:p w14:paraId="50DB17EB" w14:textId="003173DB" w:rsidR="00BE6C50" w:rsidRDefault="00BE6C50" w:rsidP="00721D78">
      <w:pPr>
        <w:pStyle w:val="Akapitzlist"/>
        <w:ind w:left="1146"/>
        <w:jc w:val="both"/>
        <w:outlineLvl w:val="2"/>
        <w:rPr>
          <w:rFonts w:ascii="Arial" w:hAnsi="Arial" w:cs="Arial"/>
          <w:b/>
          <w:u w:val="single"/>
          <w:lang w:val="en-GB"/>
        </w:rPr>
      </w:pPr>
    </w:p>
    <w:p w14:paraId="0436581A" w14:textId="33DE921F" w:rsidR="00BE6C50" w:rsidRDefault="00BE6C50" w:rsidP="00721D78">
      <w:pPr>
        <w:pStyle w:val="Akapitzlist"/>
        <w:ind w:left="1146"/>
        <w:jc w:val="both"/>
        <w:outlineLvl w:val="2"/>
        <w:rPr>
          <w:rFonts w:ascii="Arial" w:hAnsi="Arial" w:cs="Arial"/>
          <w:b/>
          <w:u w:val="single"/>
          <w:lang w:val="en-GB"/>
        </w:rPr>
      </w:pPr>
    </w:p>
    <w:p w14:paraId="7C988BB5" w14:textId="03348D9D" w:rsidR="00BE6C50" w:rsidRDefault="00BE6C50" w:rsidP="00721D78">
      <w:pPr>
        <w:pStyle w:val="Akapitzlist"/>
        <w:ind w:left="1146"/>
        <w:jc w:val="both"/>
        <w:outlineLvl w:val="2"/>
        <w:rPr>
          <w:rFonts w:ascii="Arial" w:hAnsi="Arial" w:cs="Arial"/>
          <w:b/>
          <w:u w:val="single"/>
          <w:lang w:val="en-GB"/>
        </w:rPr>
      </w:pPr>
    </w:p>
    <w:p w14:paraId="12297CA8" w14:textId="59DD09FD" w:rsidR="00BE6C50" w:rsidRDefault="00BE6C50" w:rsidP="00721D78">
      <w:pPr>
        <w:pStyle w:val="Akapitzlist"/>
        <w:ind w:left="1146"/>
        <w:jc w:val="both"/>
        <w:outlineLvl w:val="2"/>
        <w:rPr>
          <w:rFonts w:ascii="Arial" w:hAnsi="Arial" w:cs="Arial"/>
          <w:b/>
          <w:u w:val="single"/>
          <w:lang w:val="en-GB"/>
        </w:rPr>
      </w:pPr>
    </w:p>
    <w:p w14:paraId="0FD51A0E" w14:textId="7590B55C" w:rsidR="00BE6C50" w:rsidRDefault="00BE6C50" w:rsidP="00721D78">
      <w:pPr>
        <w:pStyle w:val="Akapitzlist"/>
        <w:ind w:left="1146"/>
        <w:jc w:val="both"/>
        <w:outlineLvl w:val="2"/>
        <w:rPr>
          <w:rFonts w:ascii="Arial" w:hAnsi="Arial" w:cs="Arial"/>
          <w:b/>
          <w:u w:val="single"/>
          <w:lang w:val="en-GB"/>
        </w:rPr>
      </w:pPr>
    </w:p>
    <w:p w14:paraId="4B8A6E87" w14:textId="5562A929" w:rsidR="00BE6C50" w:rsidRDefault="00BE6C50" w:rsidP="00721D78">
      <w:pPr>
        <w:pStyle w:val="Akapitzlist"/>
        <w:ind w:left="1146"/>
        <w:jc w:val="both"/>
        <w:outlineLvl w:val="2"/>
        <w:rPr>
          <w:rFonts w:ascii="Arial" w:hAnsi="Arial" w:cs="Arial"/>
          <w:b/>
          <w:u w:val="single"/>
          <w:lang w:val="en-GB"/>
        </w:rPr>
      </w:pPr>
    </w:p>
    <w:p w14:paraId="450061C9" w14:textId="335B8E7C" w:rsidR="00BE6C50" w:rsidRDefault="00BE6C50" w:rsidP="00721D78">
      <w:pPr>
        <w:pStyle w:val="Akapitzlist"/>
        <w:ind w:left="1146"/>
        <w:jc w:val="both"/>
        <w:outlineLvl w:val="2"/>
        <w:rPr>
          <w:rFonts w:ascii="Arial" w:hAnsi="Arial" w:cs="Arial"/>
          <w:b/>
          <w:u w:val="single"/>
          <w:lang w:val="en-GB"/>
        </w:rPr>
      </w:pPr>
    </w:p>
    <w:p w14:paraId="5A760196" w14:textId="3A32192A" w:rsidR="00BE6C50" w:rsidRDefault="00BE6C50" w:rsidP="00721D78">
      <w:pPr>
        <w:pStyle w:val="Akapitzlist"/>
        <w:ind w:left="1146"/>
        <w:jc w:val="both"/>
        <w:outlineLvl w:val="2"/>
        <w:rPr>
          <w:rFonts w:ascii="Arial" w:hAnsi="Arial" w:cs="Arial"/>
          <w:b/>
          <w:u w:val="single"/>
          <w:lang w:val="en-GB"/>
        </w:rPr>
      </w:pPr>
    </w:p>
    <w:p w14:paraId="2EFC3BD2" w14:textId="1D8FBFC8" w:rsidR="00BE6C50" w:rsidRDefault="00BE6C50" w:rsidP="00721D78">
      <w:pPr>
        <w:pStyle w:val="Akapitzlist"/>
        <w:ind w:left="1146"/>
        <w:jc w:val="both"/>
        <w:outlineLvl w:val="2"/>
        <w:rPr>
          <w:rFonts w:ascii="Arial" w:hAnsi="Arial" w:cs="Arial"/>
          <w:b/>
          <w:u w:val="single"/>
          <w:lang w:val="en-GB"/>
        </w:rPr>
      </w:pPr>
    </w:p>
    <w:p w14:paraId="2EBD22FD" w14:textId="28F41AC1" w:rsidR="00BE6C50" w:rsidRDefault="00BE6C50" w:rsidP="00721D78">
      <w:pPr>
        <w:pStyle w:val="Akapitzlist"/>
        <w:ind w:left="1146"/>
        <w:jc w:val="both"/>
        <w:outlineLvl w:val="2"/>
        <w:rPr>
          <w:rFonts w:ascii="Arial" w:hAnsi="Arial" w:cs="Arial"/>
          <w:b/>
          <w:u w:val="single"/>
          <w:lang w:val="en-GB"/>
        </w:rPr>
      </w:pPr>
    </w:p>
    <w:p w14:paraId="37B32599" w14:textId="6EB61CFF" w:rsidR="00BE6C50" w:rsidRDefault="00BE6C50" w:rsidP="00721D78">
      <w:pPr>
        <w:pStyle w:val="Akapitzlist"/>
        <w:ind w:left="1146"/>
        <w:jc w:val="both"/>
        <w:outlineLvl w:val="2"/>
        <w:rPr>
          <w:rFonts w:ascii="Arial" w:hAnsi="Arial" w:cs="Arial"/>
          <w:b/>
          <w:u w:val="single"/>
          <w:lang w:val="en-GB"/>
        </w:rPr>
      </w:pPr>
    </w:p>
    <w:p w14:paraId="5B83483D" w14:textId="567731B0" w:rsidR="00BE6C50" w:rsidRDefault="00BE6C50" w:rsidP="00721D78">
      <w:pPr>
        <w:pStyle w:val="Akapitzlist"/>
        <w:ind w:left="1146"/>
        <w:jc w:val="both"/>
        <w:outlineLvl w:val="2"/>
        <w:rPr>
          <w:rFonts w:ascii="Arial" w:hAnsi="Arial" w:cs="Arial"/>
          <w:b/>
          <w:u w:val="single"/>
          <w:lang w:val="en-GB"/>
        </w:rPr>
      </w:pPr>
    </w:p>
    <w:p w14:paraId="35BA0B7F" w14:textId="3D57E9D1" w:rsidR="00BE6C50" w:rsidRDefault="00BE6C50" w:rsidP="00721D78">
      <w:pPr>
        <w:pStyle w:val="Akapitzlist"/>
        <w:ind w:left="1146"/>
        <w:jc w:val="both"/>
        <w:outlineLvl w:val="2"/>
        <w:rPr>
          <w:rFonts w:ascii="Arial" w:hAnsi="Arial" w:cs="Arial"/>
          <w:b/>
          <w:u w:val="single"/>
          <w:lang w:val="en-GB"/>
        </w:rPr>
      </w:pPr>
    </w:p>
    <w:p w14:paraId="70B1D93B" w14:textId="71E79242" w:rsidR="00BE6C50" w:rsidRDefault="00BE6C50" w:rsidP="00721D78">
      <w:pPr>
        <w:pStyle w:val="Akapitzlist"/>
        <w:ind w:left="1146"/>
        <w:jc w:val="both"/>
        <w:outlineLvl w:val="2"/>
        <w:rPr>
          <w:rFonts w:ascii="Arial" w:hAnsi="Arial" w:cs="Arial"/>
          <w:b/>
          <w:u w:val="single"/>
          <w:lang w:val="en-GB"/>
        </w:rPr>
      </w:pPr>
    </w:p>
    <w:p w14:paraId="5BE2E87C" w14:textId="2AFDB64A" w:rsidR="00BE6C50" w:rsidRDefault="00BE6C50" w:rsidP="00721D78">
      <w:pPr>
        <w:pStyle w:val="Akapitzlist"/>
        <w:ind w:left="1146"/>
        <w:jc w:val="both"/>
        <w:outlineLvl w:val="2"/>
        <w:rPr>
          <w:rFonts w:ascii="Arial" w:hAnsi="Arial" w:cs="Arial"/>
          <w:b/>
          <w:u w:val="single"/>
          <w:lang w:val="en-GB"/>
        </w:rPr>
      </w:pPr>
    </w:p>
    <w:p w14:paraId="6246F52B" w14:textId="77777777" w:rsidR="00BE6C50" w:rsidRPr="00721D78" w:rsidRDefault="00BE6C50" w:rsidP="00721D78">
      <w:pPr>
        <w:pStyle w:val="Akapitzlist"/>
        <w:ind w:left="1146"/>
        <w:jc w:val="both"/>
        <w:outlineLvl w:val="2"/>
        <w:rPr>
          <w:rFonts w:ascii="Arial" w:hAnsi="Arial" w:cs="Arial"/>
          <w:b/>
          <w:u w:val="single"/>
          <w:lang w:val="en-GB"/>
        </w:rPr>
      </w:pPr>
    </w:p>
    <w:p w14:paraId="2777DA0F" w14:textId="13919D31" w:rsidR="004244A3" w:rsidRPr="004244A3" w:rsidRDefault="004244A3" w:rsidP="004244A3">
      <w:pPr>
        <w:pStyle w:val="Akapitzlist"/>
        <w:numPr>
          <w:ilvl w:val="0"/>
          <w:numId w:val="7"/>
        </w:numPr>
        <w:jc w:val="both"/>
        <w:outlineLvl w:val="2"/>
        <w:rPr>
          <w:rFonts w:ascii="Arial" w:hAnsi="Arial" w:cs="Arial"/>
          <w:b/>
          <w:u w:val="single"/>
          <w:lang w:val="en-GB"/>
        </w:rPr>
      </w:pPr>
      <w:bookmarkStart w:id="1" w:name="_Toc203117207"/>
      <w:r w:rsidRPr="004244A3">
        <w:rPr>
          <w:rFonts w:ascii="Arial" w:hAnsi="Arial" w:cs="Arial"/>
          <w:b/>
          <w:lang w:val="en-GB"/>
        </w:rPr>
        <w:t>ORLEN S.A. and ORLEN Neptun as the investor</w:t>
      </w:r>
      <w:bookmarkEnd w:id="0"/>
      <w:bookmarkEnd w:id="1"/>
    </w:p>
    <w:p w14:paraId="471AA3D2" w14:textId="77777777" w:rsidR="004244A3" w:rsidRPr="000F56C8"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ORLEN is an integrated, multi-utility corporation primarily </w:t>
      </w:r>
      <w:r w:rsidRPr="000F56C8">
        <w:rPr>
          <w:rFonts w:ascii="Arial" w:hAnsi="Arial" w:cs="Arial"/>
          <w:sz w:val="18"/>
          <w:szCs w:val="18"/>
          <w:lang w:val="en-GB" w:eastAsia="en-US"/>
        </w:rPr>
        <w:t xml:space="preserve">active in Central Europe. We supply energy and fuel </w:t>
      </w:r>
      <w:r w:rsidRPr="000F56C8">
        <w:rPr>
          <w:rFonts w:ascii="Arial" w:hAnsi="Arial" w:cs="Arial"/>
          <w:sz w:val="18"/>
          <w:szCs w:val="18"/>
          <w:lang w:val="en-GB" w:eastAsia="en-US"/>
        </w:rPr>
        <w:br/>
        <w:t>to over 100 million Europeans, and our advanced products are sold in over 100 countries across six continents.</w:t>
      </w:r>
    </w:p>
    <w:p w14:paraId="640B8AED" w14:textId="77777777" w:rsidR="004244A3" w:rsidRPr="000F56C8" w:rsidRDefault="004244A3" w:rsidP="004244A3">
      <w:pPr>
        <w:spacing w:line="276" w:lineRule="auto"/>
        <w:jc w:val="both"/>
        <w:rPr>
          <w:rFonts w:ascii="Arial" w:hAnsi="Arial" w:cs="Arial"/>
          <w:sz w:val="18"/>
          <w:szCs w:val="18"/>
          <w:lang w:val="en-GB" w:eastAsia="en-US"/>
        </w:rPr>
      </w:pPr>
    </w:p>
    <w:p w14:paraId="29DD858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are involved in the upstream and downstream sectors of the oil and gas industry, as well as in power generation and distribution. Central to ORLEN’s mission is the commitment to lead the regional energy transition. The company is dedicated to adopting innovative, clean, and sustainable technologies, focusing particularly on low- and zero-emission power generation. This forward-thinking approach is part of ORLEN's strategic goal to achieve emission neutrality by the year 2050.</w:t>
      </w:r>
    </w:p>
    <w:p w14:paraId="32598229" w14:textId="77777777" w:rsidR="004244A3" w:rsidRPr="00721D78" w:rsidRDefault="004244A3" w:rsidP="004244A3">
      <w:pPr>
        <w:spacing w:line="276" w:lineRule="auto"/>
        <w:jc w:val="both"/>
        <w:rPr>
          <w:rFonts w:ascii="Arial" w:hAnsi="Arial" w:cs="Arial"/>
          <w:sz w:val="18"/>
          <w:szCs w:val="18"/>
          <w:lang w:val="en-GB" w:eastAsia="en-US"/>
        </w:rPr>
      </w:pPr>
    </w:p>
    <w:p w14:paraId="2EE3361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We plan to invest over USD 80 billion in strategic projects by the end of 2030, with approximately 40% dedicated to green investments. These include offshore and onshore wind energy, photovoltaics, biogas and </w:t>
      </w:r>
      <w:proofErr w:type="spellStart"/>
      <w:r w:rsidRPr="00721D78">
        <w:rPr>
          <w:rFonts w:ascii="Arial" w:hAnsi="Arial" w:cs="Arial"/>
          <w:sz w:val="18"/>
          <w:szCs w:val="18"/>
          <w:lang w:val="en-GB" w:eastAsia="en-US"/>
        </w:rPr>
        <w:t>biomethane</w:t>
      </w:r>
      <w:proofErr w:type="spellEnd"/>
      <w:r w:rsidRPr="00721D78">
        <w:rPr>
          <w:rFonts w:ascii="Arial" w:hAnsi="Arial" w:cs="Arial"/>
          <w:sz w:val="18"/>
          <w:szCs w:val="18"/>
          <w:lang w:val="en-GB" w:eastAsia="en-US"/>
        </w:rPr>
        <w:t xml:space="preserve">, biofuels, </w:t>
      </w:r>
      <w:proofErr w:type="spellStart"/>
      <w:r w:rsidRPr="00721D78">
        <w:rPr>
          <w:rFonts w:ascii="Arial" w:hAnsi="Arial" w:cs="Arial"/>
          <w:sz w:val="18"/>
          <w:szCs w:val="18"/>
          <w:lang w:val="en-GB" w:eastAsia="en-US"/>
        </w:rPr>
        <w:t>electromobility</w:t>
      </w:r>
      <w:proofErr w:type="spellEnd"/>
      <w:r w:rsidRPr="00721D78">
        <w:rPr>
          <w:rFonts w:ascii="Arial" w:hAnsi="Arial" w:cs="Arial"/>
          <w:sz w:val="18"/>
          <w:szCs w:val="18"/>
          <w:lang w:val="en-GB" w:eastAsia="en-US"/>
        </w:rPr>
        <w:t>, CCUS, green hydrogen, and synthetic fuels.</w:t>
      </w:r>
    </w:p>
    <w:p w14:paraId="5D9FBA7E" w14:textId="77777777" w:rsidR="004244A3" w:rsidRPr="00721D78" w:rsidRDefault="004244A3" w:rsidP="004244A3">
      <w:pPr>
        <w:spacing w:line="276" w:lineRule="auto"/>
        <w:jc w:val="both"/>
        <w:rPr>
          <w:rFonts w:ascii="Arial" w:hAnsi="Arial" w:cs="Arial"/>
          <w:sz w:val="18"/>
          <w:szCs w:val="18"/>
          <w:lang w:val="en-GB" w:eastAsia="en-US"/>
        </w:rPr>
      </w:pPr>
    </w:p>
    <w:p w14:paraId="53C26A4F"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aim to create new solutions in the fields of power generation and mobility, based on advanced and sustainable technologies. They are the key to the achievement of our long-term goal – reaching emission neutrality by 2050.</w:t>
      </w:r>
    </w:p>
    <w:p w14:paraId="6475402C" w14:textId="77777777" w:rsidR="004244A3" w:rsidRPr="00721D78" w:rsidRDefault="004244A3" w:rsidP="004244A3">
      <w:pPr>
        <w:spacing w:line="276" w:lineRule="auto"/>
        <w:jc w:val="both"/>
        <w:rPr>
          <w:rFonts w:ascii="Arial" w:hAnsi="Arial" w:cs="Arial"/>
          <w:sz w:val="18"/>
          <w:szCs w:val="18"/>
          <w:lang w:val="en-GB" w:eastAsia="en-US"/>
        </w:rPr>
      </w:pPr>
    </w:p>
    <w:p w14:paraId="012BD24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Responsible transformation</w:t>
      </w:r>
    </w:p>
    <w:p w14:paraId="092E6554"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ORLEN Group’s transition path is determined by renewable energy and modern petrochemicals. The key pillars </w:t>
      </w:r>
      <w:r w:rsidRPr="00721D78">
        <w:rPr>
          <w:rFonts w:ascii="Arial" w:hAnsi="Arial" w:cs="Arial"/>
          <w:sz w:val="18"/>
          <w:szCs w:val="18"/>
          <w:lang w:val="en-GB" w:eastAsia="en-US"/>
        </w:rPr>
        <w:br/>
        <w:t>of our strategic development are complemented by the new approach to retail sales, which will enable us to meet a variety of customer needs comprehensively. The search for innovative solutions in the areas of new mobility, hydrogen energy and recycling is our response to the long-term trends.</w:t>
      </w:r>
    </w:p>
    <w:p w14:paraId="53F20D33" w14:textId="77777777" w:rsidR="004244A3" w:rsidRPr="00721D78" w:rsidRDefault="004244A3" w:rsidP="004244A3">
      <w:pPr>
        <w:spacing w:line="276" w:lineRule="auto"/>
        <w:jc w:val="both"/>
        <w:rPr>
          <w:rFonts w:ascii="Arial" w:hAnsi="Arial" w:cs="Arial"/>
          <w:sz w:val="18"/>
          <w:szCs w:val="18"/>
          <w:lang w:val="en-GB" w:eastAsia="en-US"/>
        </w:rPr>
      </w:pPr>
    </w:p>
    <w:p w14:paraId="07F14006"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future starts now</w:t>
      </w:r>
    </w:p>
    <w:p w14:paraId="4D31E3EC"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 xml:space="preserve">We are fully aware that the future starts now. For this reason the maximization of profits and reconstruction of current activity drive the development of new business areas. We consider it crucial to increase efficiency and develop sustainability of our core business segments, including more environmentally-friendly biofuels and </w:t>
      </w:r>
      <w:proofErr w:type="spellStart"/>
      <w:r w:rsidRPr="00721D78">
        <w:rPr>
          <w:rFonts w:ascii="Arial" w:hAnsi="Arial" w:cs="Arial"/>
          <w:sz w:val="18"/>
          <w:szCs w:val="18"/>
          <w:lang w:val="en-GB" w:eastAsia="en-US"/>
        </w:rPr>
        <w:t>biocomponents</w:t>
      </w:r>
      <w:proofErr w:type="spellEnd"/>
      <w:r w:rsidRPr="00721D78">
        <w:rPr>
          <w:rFonts w:ascii="Arial" w:hAnsi="Arial" w:cs="Arial"/>
          <w:sz w:val="18"/>
          <w:szCs w:val="18"/>
          <w:lang w:val="en-GB" w:eastAsia="en-US"/>
        </w:rPr>
        <w:t>.</w:t>
      </w:r>
    </w:p>
    <w:p w14:paraId="0E01A1FD"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We believe that gas energy is a valuable bridge to the energy transition in our region. For this reason, we are currently reconstructing our upstream assets portfolio and keep investing in power generation infrastructure. In addition, we are dynamically developing our retail network across Central Europe.</w:t>
      </w:r>
    </w:p>
    <w:p w14:paraId="6FB024CC" w14:textId="77777777" w:rsidR="004244A3" w:rsidRPr="00721D78" w:rsidRDefault="004244A3" w:rsidP="004244A3">
      <w:pPr>
        <w:spacing w:line="276" w:lineRule="auto"/>
        <w:jc w:val="both"/>
        <w:rPr>
          <w:rFonts w:ascii="Arial" w:hAnsi="Arial" w:cs="Arial"/>
          <w:sz w:val="18"/>
          <w:szCs w:val="18"/>
          <w:lang w:val="en-GB" w:eastAsia="en-US"/>
        </w:rPr>
      </w:pPr>
    </w:p>
    <w:p w14:paraId="5380A7A9" w14:textId="77777777" w:rsidR="004244A3" w:rsidRPr="00721D7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New energy</w:t>
      </w:r>
    </w:p>
    <w:p w14:paraId="09ACDA7C" w14:textId="77777777" w:rsidR="004244A3" w:rsidRPr="000F56C8" w:rsidRDefault="004244A3" w:rsidP="004244A3">
      <w:pPr>
        <w:spacing w:line="276" w:lineRule="auto"/>
        <w:jc w:val="both"/>
        <w:rPr>
          <w:rFonts w:ascii="Arial" w:hAnsi="Arial" w:cs="Arial"/>
          <w:sz w:val="18"/>
          <w:szCs w:val="18"/>
          <w:lang w:val="en-GB" w:eastAsia="en-US"/>
        </w:rPr>
      </w:pPr>
      <w:r w:rsidRPr="00721D78">
        <w:rPr>
          <w:rFonts w:ascii="Arial" w:hAnsi="Arial" w:cs="Arial"/>
          <w:sz w:val="18"/>
          <w:szCs w:val="18"/>
          <w:lang w:val="en-GB" w:eastAsia="en-US"/>
        </w:rPr>
        <w:t>The global shift in approach to the use of natural resources redefines the challenges which our business faces. We believe</w:t>
      </w:r>
      <w:r w:rsidRPr="000F56C8">
        <w:rPr>
          <w:rFonts w:ascii="Arial" w:hAnsi="Arial" w:cs="Arial"/>
          <w:sz w:val="18"/>
          <w:szCs w:val="18"/>
          <w:lang w:val="en-GB" w:eastAsia="en-US"/>
        </w:rPr>
        <w:t xml:space="preserve"> that strong, integrated, multi-utility companies will be able to respond to them. They are the ones to create new, efficient and sustainable technologies, and the ones to become partners in a process of a profound socio-economic transition.</w:t>
      </w:r>
    </w:p>
    <w:p w14:paraId="47468397"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We've completed an acquisition of two leading Polish energy companies, LOTOS Group and </w:t>
      </w:r>
      <w:proofErr w:type="spellStart"/>
      <w:r w:rsidRPr="000F56C8">
        <w:rPr>
          <w:rFonts w:ascii="Arial" w:hAnsi="Arial" w:cs="Arial"/>
          <w:sz w:val="18"/>
          <w:szCs w:val="18"/>
          <w:lang w:val="en-GB" w:eastAsia="en-US"/>
        </w:rPr>
        <w:t>PGNiG</w:t>
      </w:r>
      <w:proofErr w:type="spellEnd"/>
      <w:r w:rsidRPr="000F56C8">
        <w:rPr>
          <w:rFonts w:ascii="Arial" w:hAnsi="Arial" w:cs="Arial"/>
          <w:sz w:val="18"/>
          <w:szCs w:val="18"/>
          <w:lang w:val="en-GB" w:eastAsia="en-US"/>
        </w:rPr>
        <w:t>. The finalization of these acquisitions allowed us to become a regional leader shaping an entirely new appearance of the Central European economy.</w:t>
      </w:r>
    </w:p>
    <w:p w14:paraId="773308B3" w14:textId="77777777" w:rsidR="004244A3" w:rsidRPr="000F56C8" w:rsidRDefault="004244A3" w:rsidP="004244A3">
      <w:pPr>
        <w:spacing w:line="276" w:lineRule="auto"/>
        <w:jc w:val="both"/>
        <w:rPr>
          <w:rFonts w:ascii="Arial" w:hAnsi="Arial" w:cs="Arial"/>
          <w:sz w:val="18"/>
          <w:szCs w:val="18"/>
          <w:lang w:val="en-GB" w:eastAsia="en-US"/>
        </w:rPr>
      </w:pPr>
    </w:p>
    <w:p w14:paraId="7BE1BADA" w14:textId="71EC0C82"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ORLEN Neptun VIII </w:t>
      </w:r>
      <w:r w:rsidR="00973E4F">
        <w:rPr>
          <w:rFonts w:ascii="Arial" w:hAnsi="Arial" w:cs="Arial"/>
          <w:sz w:val="18"/>
          <w:szCs w:val="18"/>
          <w:lang w:val="en-GB" w:eastAsia="en-US"/>
        </w:rPr>
        <w:t>Sp.</w:t>
      </w:r>
      <w:r w:rsidRPr="000F56C8">
        <w:rPr>
          <w:rFonts w:ascii="Arial" w:hAnsi="Arial" w:cs="Arial"/>
          <w:sz w:val="18"/>
          <w:szCs w:val="18"/>
          <w:lang w:val="en-GB" w:eastAsia="en-US"/>
        </w:rPr>
        <w:t xml:space="preserve"> z </w:t>
      </w:r>
      <w:proofErr w:type="spellStart"/>
      <w:r w:rsidRPr="000F56C8">
        <w:rPr>
          <w:rFonts w:ascii="Arial" w:hAnsi="Arial" w:cs="Arial"/>
          <w:sz w:val="18"/>
          <w:szCs w:val="18"/>
          <w:lang w:val="en-GB" w:eastAsia="en-US"/>
        </w:rPr>
        <w:t>o</w:t>
      </w:r>
      <w:r w:rsidR="00973E4F">
        <w:rPr>
          <w:rFonts w:ascii="Arial" w:hAnsi="Arial" w:cs="Arial"/>
          <w:sz w:val="18"/>
          <w:szCs w:val="18"/>
          <w:lang w:val="en-GB" w:eastAsia="en-US"/>
        </w:rPr>
        <w:t>.o</w:t>
      </w:r>
      <w:proofErr w:type="spellEnd"/>
      <w:r w:rsidR="00973E4F">
        <w:rPr>
          <w:rFonts w:ascii="Arial" w:hAnsi="Arial" w:cs="Arial"/>
          <w:sz w:val="18"/>
          <w:szCs w:val="18"/>
          <w:lang w:val="en-GB" w:eastAsia="en-US"/>
        </w:rPr>
        <w:t xml:space="preserve">. </w:t>
      </w:r>
      <w:r w:rsidRPr="000F56C8">
        <w:rPr>
          <w:rFonts w:ascii="Arial" w:hAnsi="Arial" w:cs="Arial"/>
          <w:sz w:val="18"/>
          <w:szCs w:val="18"/>
          <w:lang w:val="en-GB" w:eastAsia="en-US"/>
        </w:rPr>
        <w:t>– member of ORLEN capital group – shall be considered as SPV, founded by ORLEN (via 100% owned subsidiary ORLEN Neptun) to develop, construct, operate and maintain offshore wind farm Baltic East.</w:t>
      </w:r>
    </w:p>
    <w:p w14:paraId="1DCA38E8" w14:textId="77777777" w:rsidR="004244A3" w:rsidRPr="000F56C8" w:rsidRDefault="004244A3" w:rsidP="004244A3">
      <w:pPr>
        <w:spacing w:line="276" w:lineRule="auto"/>
        <w:jc w:val="both"/>
        <w:rPr>
          <w:rFonts w:ascii="Arial" w:hAnsi="Arial" w:cs="Arial"/>
          <w:sz w:val="18"/>
          <w:szCs w:val="18"/>
          <w:lang w:val="en-GB" w:eastAsia="en-US"/>
        </w:rPr>
      </w:pPr>
    </w:p>
    <w:p w14:paraId="71F5CB8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More information about ORLEN and Baltic East Project is available on the following websites: </w:t>
      </w:r>
      <w:hyperlink r:id="rId8" w:history="1">
        <w:r w:rsidRPr="000F56C8">
          <w:rPr>
            <w:rStyle w:val="Hipercze"/>
            <w:rFonts w:ascii="Arial" w:hAnsi="Arial" w:cs="Arial"/>
            <w:sz w:val="18"/>
            <w:szCs w:val="18"/>
            <w:lang w:val="en-GB" w:eastAsia="en-US"/>
          </w:rPr>
          <w:t>https://www.orlen.pl/en</w:t>
        </w:r>
      </w:hyperlink>
      <w:r w:rsidRPr="000F56C8">
        <w:rPr>
          <w:rFonts w:ascii="Arial" w:hAnsi="Arial" w:cs="Arial"/>
          <w:sz w:val="18"/>
          <w:szCs w:val="18"/>
          <w:lang w:val="en-GB" w:eastAsia="en-US"/>
        </w:rPr>
        <w:t xml:space="preserve"> and </w:t>
      </w:r>
      <w:hyperlink r:id="rId9" w:history="1">
        <w:r w:rsidRPr="000F56C8">
          <w:rPr>
            <w:rStyle w:val="Hipercze"/>
            <w:rFonts w:ascii="Arial" w:hAnsi="Arial" w:cs="Arial"/>
            <w:sz w:val="18"/>
            <w:szCs w:val="18"/>
            <w:lang w:val="en-GB" w:eastAsia="en-US"/>
          </w:rPr>
          <w:t>https://neptun.orlen.pl/pl/o-spolce/inwestycje/Baltic-East</w:t>
        </w:r>
      </w:hyperlink>
      <w:r w:rsidRPr="000F56C8">
        <w:rPr>
          <w:rFonts w:ascii="Arial" w:hAnsi="Arial" w:cs="Arial"/>
          <w:sz w:val="18"/>
          <w:szCs w:val="18"/>
          <w:lang w:val="en-GB" w:eastAsia="en-US"/>
        </w:rPr>
        <w:t xml:space="preserve">. </w:t>
      </w:r>
    </w:p>
    <w:p w14:paraId="7D8F1E63" w14:textId="77777777" w:rsidR="004244A3" w:rsidRDefault="004244A3" w:rsidP="004244A3">
      <w:pPr>
        <w:spacing w:line="276" w:lineRule="auto"/>
        <w:jc w:val="both"/>
        <w:rPr>
          <w:rFonts w:ascii="Arial" w:hAnsi="Arial" w:cs="Arial"/>
          <w:sz w:val="18"/>
          <w:szCs w:val="18"/>
          <w:lang w:val="en-GB" w:eastAsia="en-US"/>
        </w:rPr>
      </w:pPr>
    </w:p>
    <w:p w14:paraId="768DBC77" w14:textId="77777777" w:rsidR="004244A3" w:rsidRDefault="004244A3" w:rsidP="004244A3">
      <w:pPr>
        <w:spacing w:line="276" w:lineRule="auto"/>
        <w:jc w:val="both"/>
        <w:rPr>
          <w:rFonts w:ascii="Arial" w:hAnsi="Arial" w:cs="Arial"/>
          <w:sz w:val="18"/>
          <w:szCs w:val="18"/>
          <w:lang w:val="en-GB" w:eastAsia="en-US"/>
        </w:rPr>
      </w:pPr>
    </w:p>
    <w:p w14:paraId="36840EDA" w14:textId="77D31762" w:rsidR="004244A3" w:rsidRDefault="004244A3" w:rsidP="004244A3">
      <w:pPr>
        <w:spacing w:line="276" w:lineRule="auto"/>
        <w:jc w:val="both"/>
        <w:rPr>
          <w:rFonts w:ascii="Arial" w:hAnsi="Arial" w:cs="Arial"/>
          <w:sz w:val="18"/>
          <w:szCs w:val="18"/>
          <w:lang w:val="en-GB" w:eastAsia="en-US"/>
        </w:rPr>
      </w:pPr>
    </w:p>
    <w:p w14:paraId="7834FA8B" w14:textId="77777777" w:rsidR="00721D78" w:rsidRDefault="00721D78" w:rsidP="004244A3">
      <w:pPr>
        <w:spacing w:line="276" w:lineRule="auto"/>
        <w:jc w:val="both"/>
        <w:rPr>
          <w:rFonts w:ascii="Arial" w:hAnsi="Arial" w:cs="Arial"/>
          <w:sz w:val="18"/>
          <w:szCs w:val="18"/>
          <w:lang w:val="en-GB" w:eastAsia="en-US"/>
        </w:rPr>
      </w:pPr>
    </w:p>
    <w:p w14:paraId="033A9126" w14:textId="77777777" w:rsidR="004244A3" w:rsidRDefault="004244A3" w:rsidP="004244A3">
      <w:pPr>
        <w:spacing w:line="276" w:lineRule="auto"/>
        <w:jc w:val="both"/>
        <w:rPr>
          <w:rFonts w:ascii="Arial" w:hAnsi="Arial" w:cs="Arial"/>
          <w:sz w:val="18"/>
          <w:szCs w:val="18"/>
          <w:lang w:val="en-GB" w:eastAsia="en-US"/>
        </w:rPr>
      </w:pPr>
    </w:p>
    <w:p w14:paraId="78DF0B02" w14:textId="77777777" w:rsidR="004244A3" w:rsidRDefault="004244A3" w:rsidP="004244A3">
      <w:pPr>
        <w:spacing w:line="276" w:lineRule="auto"/>
        <w:jc w:val="both"/>
        <w:rPr>
          <w:rFonts w:ascii="Arial" w:hAnsi="Arial" w:cs="Arial"/>
          <w:sz w:val="18"/>
          <w:szCs w:val="18"/>
          <w:lang w:val="en-GB" w:eastAsia="en-US"/>
        </w:rPr>
      </w:pPr>
    </w:p>
    <w:p w14:paraId="1FB65261" w14:textId="77777777" w:rsidR="004244A3" w:rsidRPr="000F56C8" w:rsidRDefault="004244A3" w:rsidP="004244A3">
      <w:pPr>
        <w:spacing w:line="276" w:lineRule="auto"/>
        <w:jc w:val="both"/>
        <w:rPr>
          <w:rFonts w:ascii="Arial" w:hAnsi="Arial" w:cs="Arial"/>
          <w:sz w:val="18"/>
          <w:szCs w:val="18"/>
          <w:lang w:val="en-GB" w:eastAsia="en-US"/>
        </w:rPr>
      </w:pPr>
    </w:p>
    <w:p w14:paraId="30830704" w14:textId="77777777" w:rsidR="004244A3" w:rsidRPr="004244A3" w:rsidRDefault="004244A3" w:rsidP="004244A3">
      <w:pPr>
        <w:pStyle w:val="Akapitzlist"/>
        <w:numPr>
          <w:ilvl w:val="0"/>
          <w:numId w:val="7"/>
        </w:numPr>
        <w:jc w:val="both"/>
        <w:outlineLvl w:val="2"/>
        <w:rPr>
          <w:rFonts w:ascii="Arial" w:hAnsi="Arial" w:cs="Arial"/>
          <w:b/>
          <w:lang w:val="en-GB"/>
        </w:rPr>
      </w:pPr>
      <w:bookmarkStart w:id="2" w:name="_Toc201663503"/>
      <w:bookmarkStart w:id="3" w:name="_Toc203117208"/>
      <w:r w:rsidRPr="004244A3">
        <w:rPr>
          <w:rFonts w:ascii="Arial" w:hAnsi="Arial" w:cs="Arial"/>
          <w:b/>
          <w:lang w:val="en-GB"/>
        </w:rPr>
        <w:t>Project business environment</w:t>
      </w:r>
      <w:bookmarkEnd w:id="2"/>
      <w:bookmarkEnd w:id="3"/>
    </w:p>
    <w:p w14:paraId="2DB0EBA3" w14:textId="77777777" w:rsidR="004244A3" w:rsidRPr="000F56C8" w:rsidRDefault="004244A3" w:rsidP="004244A3">
      <w:pPr>
        <w:spacing w:line="276" w:lineRule="auto"/>
        <w:jc w:val="both"/>
        <w:rPr>
          <w:rFonts w:ascii="Arial" w:hAnsi="Arial" w:cs="Arial"/>
          <w:b/>
          <w:lang w:val="en-GB"/>
        </w:rPr>
      </w:pPr>
    </w:p>
    <w:p w14:paraId="774C951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It is estimated that the combined size of areas with favourable conditions for offshore wind energy projects  development in the Polish maritime areas is approximately 3500 km2. </w:t>
      </w:r>
    </w:p>
    <w:p w14:paraId="500195FC" w14:textId="77777777" w:rsidR="004244A3" w:rsidRPr="000F56C8" w:rsidRDefault="004244A3" w:rsidP="004244A3">
      <w:pPr>
        <w:spacing w:line="276" w:lineRule="auto"/>
        <w:jc w:val="both"/>
        <w:rPr>
          <w:rFonts w:ascii="Arial" w:hAnsi="Arial" w:cs="Arial"/>
          <w:sz w:val="18"/>
          <w:szCs w:val="18"/>
          <w:lang w:val="en-GB" w:eastAsia="en-US"/>
        </w:rPr>
      </w:pPr>
    </w:p>
    <w:p w14:paraId="67E3C893"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Potential of offshore wind energy development in Poland has been officially confirmed by two major milestones achieved on national level in Poland in the year 2021: official approval of Maritime Spatial Plan of the Polish Sea Areas (“MSP”) (more info here: </w:t>
      </w:r>
      <w:hyperlink r:id="rId10"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and </w:t>
      </w:r>
      <w:hyperlink r:id="rId11" w:history="1">
        <w:r w:rsidRPr="000F56C8">
          <w:rPr>
            <w:rStyle w:val="Hipercze"/>
            <w:rFonts w:ascii="Arial" w:hAnsi="Arial" w:cs="Arial"/>
            <w:sz w:val="18"/>
            <w:szCs w:val="18"/>
            <w:lang w:val="en-GB" w:eastAsia="en-US"/>
          </w:rPr>
          <w:t>here</w:t>
        </w:r>
      </w:hyperlink>
      <w:r w:rsidRPr="000F56C8">
        <w:rPr>
          <w:rFonts w:ascii="Arial" w:hAnsi="Arial" w:cs="Arial"/>
          <w:sz w:val="18"/>
          <w:szCs w:val="18"/>
          <w:lang w:val="en-GB" w:eastAsia="en-US"/>
        </w:rPr>
        <w:t xml:space="preserve">) and official approval of „Energy Policy of Poland until 2040” (“PEP 2040”) (more info here: </w:t>
      </w:r>
      <w:hyperlink r:id="rId12" w:history="1">
        <w:r w:rsidRPr="000F56C8">
          <w:rPr>
            <w:rStyle w:val="Hipercze"/>
            <w:rFonts w:ascii="Arial" w:hAnsi="Arial" w:cs="Arial"/>
            <w:sz w:val="18"/>
            <w:szCs w:val="18"/>
            <w:lang w:val="en-GB" w:eastAsia="en-US"/>
          </w:rPr>
          <w:t>link</w:t>
        </w:r>
      </w:hyperlink>
      <w:r w:rsidRPr="000F56C8">
        <w:rPr>
          <w:rFonts w:ascii="Arial" w:hAnsi="Arial" w:cs="Arial"/>
          <w:sz w:val="18"/>
          <w:szCs w:val="18"/>
          <w:lang w:val="en-GB" w:eastAsia="en-US"/>
        </w:rPr>
        <w:t xml:space="preserve">). </w:t>
      </w:r>
    </w:p>
    <w:p w14:paraId="28929C0D" w14:textId="77777777" w:rsidR="004244A3" w:rsidRPr="000F56C8" w:rsidRDefault="004244A3" w:rsidP="004244A3">
      <w:pPr>
        <w:spacing w:line="276" w:lineRule="auto"/>
        <w:jc w:val="both"/>
        <w:rPr>
          <w:rFonts w:ascii="Arial" w:hAnsi="Arial" w:cs="Arial"/>
          <w:sz w:val="18"/>
          <w:szCs w:val="18"/>
          <w:lang w:val="en-GB" w:eastAsia="en-US"/>
        </w:rPr>
      </w:pPr>
    </w:p>
    <w:p w14:paraId="1B7960BD" w14:textId="1E1F3406"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MSP define zones where construction of offshore wind farms will be permissible and will have priority over other ways of utilization of that part of the Baltic Sea. Aforementioned zones have favourable conditions for offshore wind farms development (estimated water depth: 25-50 m, estimated average annual wind speed at hub height: </w:t>
      </w:r>
      <w:r w:rsidRPr="000F56C8">
        <w:rPr>
          <w:rFonts w:ascii="Arial" w:hAnsi="Arial" w:cs="Arial"/>
          <w:sz w:val="18"/>
          <w:szCs w:val="18"/>
          <w:lang w:val="en-GB" w:eastAsia="en-US"/>
        </w:rPr>
        <w:br/>
        <w:t xml:space="preserve">9-10 m/s, negligible tides, low salinity) and combined size of around 2300 km2, which is around 10% of Polish Exclusive Economic Zone of the Baltic Sea. Additionally MSP defined areas, where export cables will be permissible.   </w:t>
      </w:r>
    </w:p>
    <w:p w14:paraId="2E1B9350" w14:textId="77777777" w:rsidR="005D7CEA" w:rsidRPr="000F56C8" w:rsidRDefault="005D7CEA" w:rsidP="004244A3">
      <w:pPr>
        <w:spacing w:line="276" w:lineRule="auto"/>
        <w:jc w:val="both"/>
        <w:rPr>
          <w:rFonts w:ascii="Arial" w:hAnsi="Arial" w:cs="Arial"/>
          <w:sz w:val="18"/>
          <w:szCs w:val="18"/>
          <w:lang w:val="en-GB" w:eastAsia="en-US"/>
        </w:rPr>
      </w:pPr>
    </w:p>
    <w:p w14:paraId="1A80E71D" w14:textId="77777777" w:rsidR="004244A3" w:rsidRPr="000F56C8" w:rsidRDefault="004244A3" w:rsidP="004244A3">
      <w:pPr>
        <w:spacing w:line="276" w:lineRule="auto"/>
        <w:jc w:val="both"/>
        <w:rPr>
          <w:rFonts w:ascii="Arial" w:hAnsi="Arial" w:cs="Arial"/>
          <w:sz w:val="18"/>
          <w:szCs w:val="18"/>
          <w:lang w:val="en-GB" w:eastAsia="en-US"/>
        </w:rPr>
      </w:pPr>
    </w:p>
    <w:p w14:paraId="5E2EFCB4" w14:textId="77777777" w:rsidR="004244A3" w:rsidRPr="000F56C8" w:rsidRDefault="004244A3" w:rsidP="004244A3">
      <w:pPr>
        <w:spacing w:line="276" w:lineRule="auto"/>
        <w:jc w:val="center"/>
        <w:rPr>
          <w:rFonts w:ascii="Arial" w:hAnsi="Arial" w:cs="Arial"/>
          <w:sz w:val="18"/>
          <w:szCs w:val="18"/>
          <w:lang w:val="en-GB" w:eastAsia="en-US"/>
        </w:rPr>
      </w:pPr>
      <w:r w:rsidRPr="000F56C8">
        <w:rPr>
          <w:noProof/>
        </w:rPr>
        <w:drawing>
          <wp:inline distT="0" distB="0" distL="0" distR="0" wp14:anchorId="60BA6464" wp14:editId="69AA2C6A">
            <wp:extent cx="5287618" cy="3361298"/>
            <wp:effectExtent l="0" t="0" r="889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4914" cy="3365936"/>
                    </a:xfrm>
                    <a:prstGeom prst="rect">
                      <a:avLst/>
                    </a:prstGeom>
                  </pic:spPr>
                </pic:pic>
              </a:graphicData>
            </a:graphic>
          </wp:inline>
        </w:drawing>
      </w:r>
    </w:p>
    <w:p w14:paraId="5B04C82E" w14:textId="77777777" w:rsidR="005D7CEA" w:rsidRDefault="005D7CEA" w:rsidP="004244A3">
      <w:pPr>
        <w:pStyle w:val="Legenda"/>
        <w:spacing w:before="0" w:after="0" w:line="276" w:lineRule="auto"/>
      </w:pPr>
    </w:p>
    <w:p w14:paraId="4BA175EF" w14:textId="2B1A918D" w:rsidR="004244A3" w:rsidRPr="000F56C8" w:rsidRDefault="004244A3" w:rsidP="004244A3">
      <w:pPr>
        <w:pStyle w:val="Legenda"/>
        <w:spacing w:before="0" w:after="0" w:line="276" w:lineRule="auto"/>
      </w:pPr>
      <w:r w:rsidRPr="00BF4098">
        <w:rPr>
          <w:lang w:val="en-US"/>
        </w:rPr>
        <w:t xml:space="preserve">Figure </w:t>
      </w:r>
      <w:r w:rsidR="00BF4098">
        <w:rPr>
          <w:lang w:val="en-US"/>
        </w:rPr>
        <w:t>1.</w:t>
      </w:r>
      <w:r w:rsidRPr="000F56C8">
        <w:t xml:space="preserve"> Maritime Spatial Plan of Polish Sea Areas</w:t>
      </w:r>
    </w:p>
    <w:p w14:paraId="0C3624EC" w14:textId="77777777" w:rsidR="004244A3" w:rsidRPr="000F56C8" w:rsidRDefault="004244A3" w:rsidP="004244A3">
      <w:pPr>
        <w:spacing w:line="276" w:lineRule="auto"/>
        <w:jc w:val="both"/>
        <w:rPr>
          <w:rFonts w:ascii="Arial" w:hAnsi="Arial" w:cs="Arial"/>
          <w:b/>
          <w:lang w:val="en-GB"/>
        </w:rPr>
      </w:pPr>
    </w:p>
    <w:p w14:paraId="14333612"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According to approved PEP 2040, offshore wind energy will be one of the three pillars of polish energy mix by year 2040. It is expected that there will be almost </w:t>
      </w:r>
      <w:r>
        <w:rPr>
          <w:rFonts w:ascii="Arial" w:hAnsi="Arial" w:cs="Arial"/>
          <w:sz w:val="18"/>
          <w:szCs w:val="18"/>
          <w:lang w:val="en-GB" w:eastAsia="en-US"/>
        </w:rPr>
        <w:t>5,9</w:t>
      </w:r>
      <w:r w:rsidRPr="000F56C8">
        <w:rPr>
          <w:rFonts w:ascii="Arial" w:hAnsi="Arial" w:cs="Arial"/>
          <w:sz w:val="18"/>
          <w:szCs w:val="18"/>
          <w:lang w:val="en-GB" w:eastAsia="en-US"/>
        </w:rPr>
        <w:t xml:space="preserve">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of generation capacity installed on polish waters in offshore wind farms until 2030 and more than 10 </w:t>
      </w:r>
      <w:proofErr w:type="spellStart"/>
      <w:r w:rsidRPr="000F56C8">
        <w:rPr>
          <w:rFonts w:ascii="Arial" w:hAnsi="Arial" w:cs="Arial"/>
          <w:sz w:val="18"/>
          <w:szCs w:val="18"/>
          <w:lang w:val="en-GB" w:eastAsia="en-US"/>
        </w:rPr>
        <w:t>GWe</w:t>
      </w:r>
      <w:proofErr w:type="spellEnd"/>
      <w:r w:rsidRPr="000F56C8">
        <w:rPr>
          <w:rFonts w:ascii="Arial" w:hAnsi="Arial" w:cs="Arial"/>
          <w:sz w:val="18"/>
          <w:szCs w:val="18"/>
          <w:lang w:val="en-GB" w:eastAsia="en-US"/>
        </w:rPr>
        <w:t xml:space="preserve"> until 2040. Abovementioned declaration is based on the size of areas, dedicated to offshore wind energy development and average offshore wind farm’s power density and it’s already being confirmed by projects being under development and construction. Expected area reductions caused by legal or environmental constraints were taken into account as well.</w:t>
      </w:r>
    </w:p>
    <w:p w14:paraId="0BAE1D32" w14:textId="61807AA1" w:rsidR="004244A3" w:rsidRDefault="004244A3" w:rsidP="004244A3">
      <w:pPr>
        <w:spacing w:line="276" w:lineRule="auto"/>
        <w:jc w:val="both"/>
        <w:rPr>
          <w:rFonts w:ascii="Arial" w:hAnsi="Arial" w:cs="Arial"/>
          <w:sz w:val="18"/>
          <w:szCs w:val="18"/>
          <w:lang w:val="en-GB" w:eastAsia="en-US"/>
        </w:rPr>
      </w:pPr>
    </w:p>
    <w:p w14:paraId="18ED5E3D" w14:textId="23EC39B4" w:rsidR="005D7CEA" w:rsidRDefault="005D7CEA" w:rsidP="004244A3">
      <w:pPr>
        <w:spacing w:line="276" w:lineRule="auto"/>
        <w:jc w:val="both"/>
        <w:rPr>
          <w:rFonts w:ascii="Arial" w:hAnsi="Arial" w:cs="Arial"/>
          <w:sz w:val="18"/>
          <w:szCs w:val="18"/>
          <w:lang w:val="en-GB" w:eastAsia="en-US"/>
        </w:rPr>
      </w:pPr>
    </w:p>
    <w:p w14:paraId="386E7C77" w14:textId="77777777" w:rsidR="005D7CEA" w:rsidRDefault="005D7CEA" w:rsidP="004244A3">
      <w:pPr>
        <w:spacing w:line="276" w:lineRule="auto"/>
        <w:jc w:val="both"/>
        <w:rPr>
          <w:rFonts w:ascii="Arial" w:hAnsi="Arial" w:cs="Arial"/>
          <w:sz w:val="18"/>
          <w:szCs w:val="18"/>
          <w:lang w:val="en-GB" w:eastAsia="en-US"/>
        </w:rPr>
      </w:pPr>
    </w:p>
    <w:p w14:paraId="23E85AB3" w14:textId="77777777" w:rsidR="005D7CEA" w:rsidRPr="000F56C8" w:rsidRDefault="005D7CEA" w:rsidP="004244A3">
      <w:pPr>
        <w:spacing w:line="276" w:lineRule="auto"/>
        <w:jc w:val="both"/>
        <w:rPr>
          <w:rFonts w:ascii="Arial" w:hAnsi="Arial" w:cs="Arial"/>
          <w:sz w:val="18"/>
          <w:szCs w:val="18"/>
          <w:lang w:val="en-GB" w:eastAsia="en-US"/>
        </w:rPr>
      </w:pPr>
    </w:p>
    <w:p w14:paraId="31A2B3AC" w14:textId="77777777" w:rsidR="004244A3" w:rsidRPr="004244A3" w:rsidRDefault="004244A3" w:rsidP="004244A3">
      <w:pPr>
        <w:pStyle w:val="Akapitzlist"/>
        <w:numPr>
          <w:ilvl w:val="0"/>
          <w:numId w:val="7"/>
        </w:numPr>
        <w:jc w:val="both"/>
        <w:outlineLvl w:val="2"/>
        <w:rPr>
          <w:rFonts w:ascii="Arial" w:hAnsi="Arial" w:cs="Arial"/>
          <w:b/>
          <w:lang w:val="en-GB"/>
        </w:rPr>
      </w:pPr>
      <w:bookmarkStart w:id="4" w:name="_Toc201663504"/>
      <w:bookmarkStart w:id="5" w:name="_Toc203117209"/>
      <w:r w:rsidRPr="004244A3">
        <w:rPr>
          <w:rFonts w:ascii="Arial" w:hAnsi="Arial" w:cs="Arial"/>
          <w:b/>
          <w:lang w:val="en-GB"/>
        </w:rPr>
        <w:lastRenderedPageBreak/>
        <w:t>Project support system</w:t>
      </w:r>
      <w:bookmarkEnd w:id="4"/>
      <w:bookmarkEnd w:id="5"/>
    </w:p>
    <w:p w14:paraId="49D3A347" w14:textId="77777777" w:rsidR="004244A3" w:rsidRPr="000F56C8" w:rsidRDefault="004244A3" w:rsidP="004244A3">
      <w:pPr>
        <w:spacing w:line="276" w:lineRule="auto"/>
        <w:jc w:val="both"/>
        <w:rPr>
          <w:rFonts w:ascii="Arial" w:hAnsi="Arial" w:cs="Arial"/>
          <w:sz w:val="18"/>
          <w:szCs w:val="18"/>
          <w:lang w:val="en-GB" w:eastAsia="en-US"/>
        </w:rPr>
      </w:pPr>
    </w:p>
    <w:p w14:paraId="572BB3CF" w14:textId="77777777"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Given the potential of offshore wind energy in Poland, thanks to the industry coordinated works and efforts, a legal framework for further development of offshore wind projects in Poland has been developed and new “offshore wind act” has been approved by Polish government and polish authorities. Full text of this act is available here: </w:t>
      </w:r>
      <w:hyperlink r:id="rId14" w:history="1">
        <w:r w:rsidRPr="000F56C8">
          <w:rPr>
            <w:rStyle w:val="Hipercze"/>
            <w:rFonts w:ascii="Arial" w:hAnsi="Arial" w:cs="Arial"/>
            <w:sz w:val="18"/>
            <w:szCs w:val="18"/>
            <w:lang w:val="en-GB" w:eastAsia="en-US"/>
          </w:rPr>
          <w:t>https://isap.sejm.gov.pl/isap.nsf/DocDetails.xsp?id=WDU20210000234</w:t>
        </w:r>
      </w:hyperlink>
      <w:r w:rsidRPr="000F56C8">
        <w:rPr>
          <w:rFonts w:ascii="Arial" w:hAnsi="Arial" w:cs="Arial"/>
          <w:sz w:val="18"/>
          <w:szCs w:val="18"/>
          <w:lang w:val="en-GB" w:eastAsia="en-US"/>
        </w:rPr>
        <w:t xml:space="preserve">.  </w:t>
      </w:r>
    </w:p>
    <w:p w14:paraId="429DDDF2" w14:textId="77777777" w:rsidR="004244A3" w:rsidRPr="000F56C8" w:rsidRDefault="004244A3" w:rsidP="004244A3">
      <w:pPr>
        <w:spacing w:line="276" w:lineRule="auto"/>
        <w:jc w:val="both"/>
        <w:rPr>
          <w:rFonts w:ascii="Arial" w:hAnsi="Arial" w:cs="Arial"/>
          <w:sz w:val="18"/>
          <w:szCs w:val="18"/>
          <w:lang w:val="en-GB" w:eastAsia="en-US"/>
        </w:rPr>
      </w:pPr>
    </w:p>
    <w:p w14:paraId="3D586D46" w14:textId="77777777" w:rsidR="004244A3" w:rsidRPr="000F56C8" w:rsidRDefault="004244A3" w:rsidP="004244A3">
      <w:pPr>
        <w:spacing w:line="276" w:lineRule="auto"/>
        <w:jc w:val="both"/>
        <w:rPr>
          <w:rFonts w:ascii="Arial" w:hAnsi="Arial" w:cs="Arial"/>
          <w:sz w:val="18"/>
          <w:szCs w:val="18"/>
          <w:lang w:val="en-GB" w:eastAsia="en-US"/>
        </w:rPr>
      </w:pPr>
    </w:p>
    <w:p w14:paraId="0464E08A"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act created a support system for offshore wind farm projects and divided it into 2 stages:</w:t>
      </w:r>
    </w:p>
    <w:p w14:paraId="2D06B3E6"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1 – support is allocated to limited and defined projects in the form of “direct” </w:t>
      </w:r>
      <w:proofErr w:type="spellStart"/>
      <w:r w:rsidRPr="000F56C8">
        <w:rPr>
          <w:rFonts w:ascii="Arial" w:hAnsi="Arial" w:cs="Arial"/>
          <w:sz w:val="18"/>
          <w:szCs w:val="18"/>
          <w:lang w:val="en-GB"/>
        </w:rPr>
        <w:t>CfD</w:t>
      </w:r>
      <w:proofErr w:type="spellEnd"/>
      <w:r w:rsidRPr="000F56C8">
        <w:rPr>
          <w:rFonts w:ascii="Arial" w:hAnsi="Arial" w:cs="Arial"/>
          <w:sz w:val="18"/>
          <w:szCs w:val="18"/>
          <w:lang w:val="en-GB"/>
        </w:rPr>
        <w:t xml:space="preserve"> (Contract for Difference);</w:t>
      </w:r>
    </w:p>
    <w:p w14:paraId="75304702"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 xml:space="preserve">stage 2 – projects compete for state support by declaring maximum electricity price in the auctions organized every other year, first of them due to being organized in </w:t>
      </w:r>
      <w:r>
        <w:rPr>
          <w:rFonts w:ascii="Arial" w:hAnsi="Arial" w:cs="Arial"/>
          <w:sz w:val="18"/>
          <w:szCs w:val="18"/>
          <w:lang w:val="en-GB"/>
        </w:rPr>
        <w:t xml:space="preserve">December </w:t>
      </w:r>
      <w:r w:rsidRPr="000F56C8">
        <w:rPr>
          <w:rFonts w:ascii="Arial" w:hAnsi="Arial" w:cs="Arial"/>
          <w:sz w:val="18"/>
          <w:szCs w:val="18"/>
          <w:lang w:val="en-GB"/>
        </w:rPr>
        <w:t>2025.</w:t>
      </w:r>
    </w:p>
    <w:p w14:paraId="58210A5E"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Stage 1 of polish offshore wind farm projects consist of </w:t>
      </w:r>
      <w:r>
        <w:rPr>
          <w:rFonts w:ascii="Arial" w:hAnsi="Arial" w:cs="Arial"/>
          <w:sz w:val="18"/>
          <w:szCs w:val="18"/>
          <w:lang w:val="en-GB" w:eastAsia="en-US"/>
        </w:rPr>
        <w:t xml:space="preserve">nine projects. </w:t>
      </w:r>
      <w:r w:rsidRPr="000F56C8">
        <w:rPr>
          <w:rFonts w:ascii="Arial" w:hAnsi="Arial" w:cs="Arial"/>
          <w:sz w:val="18"/>
          <w:szCs w:val="18"/>
          <w:lang w:val="en-GB" w:eastAsia="en-US"/>
        </w:rPr>
        <w:t>All of them have valid location permits and already are in construction or in advance development stages.</w:t>
      </w:r>
    </w:p>
    <w:p w14:paraId="06978EB2" w14:textId="77777777" w:rsidR="004244A3" w:rsidRPr="000F56C8" w:rsidRDefault="004244A3" w:rsidP="004244A3">
      <w:pPr>
        <w:spacing w:line="276" w:lineRule="auto"/>
        <w:jc w:val="both"/>
        <w:rPr>
          <w:rFonts w:ascii="Arial" w:hAnsi="Arial" w:cs="Arial"/>
          <w:sz w:val="18"/>
          <w:szCs w:val="18"/>
          <w:lang w:val="en-GB" w:eastAsia="en-US"/>
        </w:rPr>
      </w:pPr>
    </w:p>
    <w:p w14:paraId="7F49EE45"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Stage 2 of polish offshore wind farm projects has been organized in the form of competition, where investors and developers from all over the world were allowed to submit their applications for ‘location permits’ for areas of future offshore wind farms, defined in the MSP. Dozens of applications were submitted and evaluated. As a result of this process, 10 new ‘location permits’ were granted – 5 permit</w:t>
      </w:r>
      <w:r>
        <w:rPr>
          <w:rFonts w:ascii="Arial" w:hAnsi="Arial" w:cs="Arial"/>
          <w:sz w:val="18"/>
          <w:szCs w:val="18"/>
          <w:lang w:val="en-GB" w:eastAsia="en-US"/>
        </w:rPr>
        <w:t>s</w:t>
      </w:r>
      <w:r w:rsidRPr="000F56C8">
        <w:rPr>
          <w:rFonts w:ascii="Arial" w:hAnsi="Arial" w:cs="Arial"/>
          <w:sz w:val="18"/>
          <w:szCs w:val="18"/>
          <w:lang w:val="en-GB" w:eastAsia="en-US"/>
        </w:rPr>
        <w:t xml:space="preserve"> for ORLEN capital group </w:t>
      </w:r>
      <w:r>
        <w:rPr>
          <w:rFonts w:ascii="Arial" w:hAnsi="Arial" w:cs="Arial"/>
          <w:sz w:val="18"/>
          <w:szCs w:val="18"/>
          <w:lang w:val="en-GB" w:eastAsia="en-US"/>
        </w:rPr>
        <w:t>(including Baltic East Project considered herein).</w:t>
      </w:r>
    </w:p>
    <w:p w14:paraId="5246C254" w14:textId="77777777" w:rsidR="004244A3" w:rsidRPr="000F56C8" w:rsidRDefault="004244A3" w:rsidP="004244A3">
      <w:pPr>
        <w:spacing w:line="276" w:lineRule="auto"/>
        <w:jc w:val="both"/>
        <w:rPr>
          <w:rFonts w:ascii="Arial" w:hAnsi="Arial" w:cs="Arial"/>
          <w:sz w:val="18"/>
          <w:szCs w:val="18"/>
          <w:lang w:val="en-GB" w:eastAsia="en-US"/>
        </w:rPr>
      </w:pPr>
    </w:p>
    <w:p w14:paraId="7F99F4B1" w14:textId="77777777" w:rsidR="004244A3" w:rsidRPr="004244A3" w:rsidRDefault="004244A3" w:rsidP="004244A3">
      <w:pPr>
        <w:pStyle w:val="Akapitzlist"/>
        <w:numPr>
          <w:ilvl w:val="0"/>
          <w:numId w:val="7"/>
        </w:numPr>
        <w:jc w:val="both"/>
        <w:outlineLvl w:val="2"/>
        <w:rPr>
          <w:rFonts w:ascii="Arial" w:hAnsi="Arial" w:cs="Arial"/>
          <w:b/>
          <w:lang w:val="en-GB"/>
        </w:rPr>
      </w:pPr>
      <w:bookmarkStart w:id="6" w:name="_Toc201663505"/>
      <w:bookmarkStart w:id="7" w:name="_Toc203117210"/>
      <w:r w:rsidRPr="004244A3">
        <w:rPr>
          <w:rFonts w:ascii="Arial" w:hAnsi="Arial" w:cs="Arial"/>
          <w:b/>
          <w:lang w:val="en-GB"/>
        </w:rPr>
        <w:t>Location of Baltic East project</w:t>
      </w:r>
      <w:bookmarkEnd w:id="6"/>
      <w:bookmarkEnd w:id="7"/>
    </w:p>
    <w:p w14:paraId="504D24E2" w14:textId="77777777" w:rsidR="004244A3" w:rsidRPr="000F56C8" w:rsidRDefault="004244A3" w:rsidP="004244A3">
      <w:pPr>
        <w:spacing w:line="276" w:lineRule="auto"/>
        <w:jc w:val="both"/>
        <w:rPr>
          <w:rFonts w:ascii="Arial" w:hAnsi="Arial" w:cs="Arial"/>
          <w:sz w:val="18"/>
          <w:szCs w:val="18"/>
          <w:lang w:val="en-GB" w:eastAsia="en-US"/>
        </w:rPr>
      </w:pPr>
    </w:p>
    <w:p w14:paraId="3A8CD23C"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Please see all future offshore wind farms in ORLEN capital group’s portfolio presented below. The Baltic East project, being subject of this RFI</w:t>
      </w:r>
      <w:r>
        <w:rPr>
          <w:rFonts w:ascii="Arial" w:hAnsi="Arial" w:cs="Arial"/>
          <w:sz w:val="18"/>
          <w:szCs w:val="18"/>
          <w:lang w:val="en-GB" w:eastAsia="en-US"/>
        </w:rPr>
        <w:t>.</w:t>
      </w:r>
    </w:p>
    <w:p w14:paraId="476A235C" w14:textId="77777777" w:rsidR="004244A3" w:rsidRPr="000F56C8" w:rsidRDefault="004244A3" w:rsidP="004244A3">
      <w:pPr>
        <w:spacing w:line="276" w:lineRule="auto"/>
        <w:jc w:val="both"/>
        <w:rPr>
          <w:rFonts w:ascii="Arial" w:hAnsi="Arial" w:cs="Arial"/>
          <w:sz w:val="18"/>
          <w:szCs w:val="18"/>
          <w:lang w:val="en-GB" w:eastAsia="en-US"/>
        </w:rPr>
      </w:pPr>
    </w:p>
    <w:p w14:paraId="4DDB58E9" w14:textId="77777777" w:rsidR="004244A3" w:rsidRPr="000F56C8" w:rsidRDefault="004244A3" w:rsidP="004244A3">
      <w:pPr>
        <w:spacing w:line="276" w:lineRule="auto"/>
        <w:jc w:val="both"/>
        <w:rPr>
          <w:rFonts w:ascii="Arial" w:hAnsi="Arial" w:cs="Arial"/>
          <w:sz w:val="18"/>
          <w:szCs w:val="18"/>
          <w:lang w:val="en-GB" w:eastAsia="en-US"/>
        </w:rPr>
      </w:pPr>
      <w:r w:rsidRPr="000F56C8">
        <w:rPr>
          <w:noProof/>
        </w:rPr>
        <w:drawing>
          <wp:inline distT="0" distB="0" distL="0" distR="0" wp14:anchorId="4076C16A" wp14:editId="26E6D05B">
            <wp:extent cx="5848350" cy="3621989"/>
            <wp:effectExtent l="0" t="0" r="0" b="0"/>
            <wp:docPr id="12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66986" cy="3633531"/>
                    </a:xfrm>
                    <a:prstGeom prst="rect">
                      <a:avLst/>
                    </a:prstGeom>
                  </pic:spPr>
                </pic:pic>
              </a:graphicData>
            </a:graphic>
          </wp:inline>
        </w:drawing>
      </w:r>
    </w:p>
    <w:p w14:paraId="6907215D" w14:textId="77777777" w:rsidR="005D7CEA" w:rsidRDefault="005D7CEA" w:rsidP="004244A3">
      <w:pPr>
        <w:pStyle w:val="Legenda"/>
        <w:spacing w:before="0" w:after="0" w:line="276" w:lineRule="auto"/>
      </w:pPr>
    </w:p>
    <w:p w14:paraId="72EED056" w14:textId="5BBA60DA" w:rsidR="004244A3" w:rsidRPr="000F56C8" w:rsidRDefault="004244A3" w:rsidP="004244A3">
      <w:pPr>
        <w:pStyle w:val="Legenda"/>
        <w:spacing w:before="0" w:after="0" w:line="276" w:lineRule="auto"/>
      </w:pPr>
      <w:r w:rsidRPr="004F2F98">
        <w:rPr>
          <w:lang w:val="en-US"/>
        </w:rPr>
        <w:t xml:space="preserve">Figure </w:t>
      </w:r>
      <w:r w:rsidR="004F2F98" w:rsidRPr="004F2F98">
        <w:rPr>
          <w:lang w:val="en-US"/>
        </w:rPr>
        <w:t xml:space="preserve">2. </w:t>
      </w:r>
      <w:r w:rsidRPr="000F56C8">
        <w:t>Development of offshore wind projects in ORLEN Group: 2nd phase</w:t>
      </w:r>
    </w:p>
    <w:p w14:paraId="4EBB7072" w14:textId="77777777" w:rsidR="004244A3" w:rsidRPr="000F56C8" w:rsidRDefault="004244A3" w:rsidP="004244A3">
      <w:pPr>
        <w:spacing w:line="276" w:lineRule="auto"/>
        <w:jc w:val="both"/>
        <w:rPr>
          <w:rFonts w:ascii="Arial" w:hAnsi="Arial" w:cs="Arial"/>
          <w:sz w:val="18"/>
          <w:szCs w:val="18"/>
          <w:lang w:val="en-GB" w:eastAsia="en-US"/>
        </w:rPr>
      </w:pPr>
    </w:p>
    <w:p w14:paraId="07D5B356" w14:textId="178A716B" w:rsidR="004244A3"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The Baltic East offshore wind farm is a future development in the Baltic Sea, located in the Polish Exclusive Economic Zone (Figure 1.2). The ‘location permit’ covers a total area of approximately 110 km2, located around </w:t>
      </w:r>
      <w:r>
        <w:rPr>
          <w:rFonts w:ascii="Arial" w:hAnsi="Arial" w:cs="Arial"/>
          <w:sz w:val="18"/>
          <w:szCs w:val="18"/>
          <w:lang w:val="en-GB" w:eastAsia="en-US"/>
        </w:rPr>
        <w:br/>
      </w:r>
      <w:r w:rsidRPr="000F56C8">
        <w:rPr>
          <w:rFonts w:ascii="Arial" w:hAnsi="Arial" w:cs="Arial"/>
          <w:sz w:val="18"/>
          <w:szCs w:val="18"/>
          <w:lang w:val="en-GB" w:eastAsia="en-US"/>
        </w:rPr>
        <w:t>23</w:t>
      </w:r>
      <w:r>
        <w:rPr>
          <w:rFonts w:ascii="Arial" w:hAnsi="Arial" w:cs="Arial"/>
          <w:sz w:val="18"/>
          <w:szCs w:val="18"/>
          <w:lang w:val="en-GB" w:eastAsia="en-US"/>
        </w:rPr>
        <w:t xml:space="preserve"> </w:t>
      </w:r>
      <w:r w:rsidRPr="000F56C8">
        <w:rPr>
          <w:rFonts w:ascii="Arial" w:hAnsi="Arial" w:cs="Arial"/>
          <w:sz w:val="18"/>
          <w:szCs w:val="18"/>
          <w:lang w:val="en-GB" w:eastAsia="en-US"/>
        </w:rPr>
        <w:t>km north from the coastline of Poland. The project is located next to another offshore wind farm project in ORLEN capital group – Baltic Power, being under construction at the moment.</w:t>
      </w:r>
    </w:p>
    <w:p w14:paraId="352DE299" w14:textId="77777777" w:rsidR="005D7CEA" w:rsidRDefault="005D7CEA" w:rsidP="004244A3">
      <w:pPr>
        <w:spacing w:line="276" w:lineRule="auto"/>
        <w:jc w:val="both"/>
        <w:rPr>
          <w:rFonts w:ascii="Arial" w:hAnsi="Arial" w:cs="Arial"/>
          <w:sz w:val="18"/>
          <w:szCs w:val="18"/>
          <w:lang w:val="en-GB" w:eastAsia="en-US"/>
        </w:rPr>
      </w:pPr>
    </w:p>
    <w:p w14:paraId="479D3A66" w14:textId="77777777" w:rsidR="005D7CEA" w:rsidRPr="000F56C8" w:rsidRDefault="005D7CEA" w:rsidP="004244A3">
      <w:pPr>
        <w:spacing w:line="276" w:lineRule="auto"/>
        <w:jc w:val="both"/>
        <w:rPr>
          <w:rFonts w:ascii="Arial" w:hAnsi="Arial" w:cs="Arial"/>
          <w:sz w:val="18"/>
          <w:szCs w:val="18"/>
          <w:lang w:val="en-GB" w:eastAsia="en-US"/>
        </w:rPr>
      </w:pPr>
    </w:p>
    <w:p w14:paraId="2C4DAFA1" w14:textId="77777777" w:rsidR="004244A3" w:rsidRPr="000F56C8" w:rsidRDefault="004244A3" w:rsidP="004244A3">
      <w:pPr>
        <w:spacing w:line="276" w:lineRule="auto"/>
        <w:jc w:val="both"/>
        <w:rPr>
          <w:rFonts w:ascii="Arial" w:hAnsi="Arial" w:cs="Arial"/>
          <w:sz w:val="18"/>
          <w:szCs w:val="18"/>
          <w:lang w:val="en-GB" w:eastAsia="en-US"/>
        </w:rPr>
      </w:pPr>
      <w:r>
        <w:rPr>
          <w:rFonts w:ascii="Arial" w:hAnsi="Arial" w:cs="Arial"/>
          <w:noProof/>
          <w:sz w:val="18"/>
          <w:szCs w:val="18"/>
        </w:rPr>
        <w:drawing>
          <wp:inline distT="0" distB="0" distL="0" distR="0" wp14:anchorId="7FD40C85" wp14:editId="04F145E1">
            <wp:extent cx="5760720" cy="4070350"/>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ltic East mapa.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4070350"/>
                    </a:xfrm>
                    <a:prstGeom prst="rect">
                      <a:avLst/>
                    </a:prstGeom>
                  </pic:spPr>
                </pic:pic>
              </a:graphicData>
            </a:graphic>
          </wp:inline>
        </w:drawing>
      </w:r>
    </w:p>
    <w:p w14:paraId="3450B708" w14:textId="77777777" w:rsidR="005D7CEA" w:rsidRDefault="005D7CEA" w:rsidP="004244A3">
      <w:pPr>
        <w:pStyle w:val="Legenda"/>
        <w:spacing w:before="0" w:after="0" w:line="276" w:lineRule="auto"/>
      </w:pPr>
    </w:p>
    <w:p w14:paraId="3B576E9B" w14:textId="32228428" w:rsidR="004244A3" w:rsidRPr="000F56C8" w:rsidRDefault="004244A3" w:rsidP="004244A3">
      <w:pPr>
        <w:pStyle w:val="Legenda"/>
        <w:spacing w:before="0" w:after="0" w:line="276" w:lineRule="auto"/>
      </w:pPr>
      <w:r w:rsidRPr="004F2F98">
        <w:rPr>
          <w:lang w:val="en-US"/>
        </w:rPr>
        <w:t xml:space="preserve">Figure </w:t>
      </w:r>
      <w:r w:rsidRPr="000F56C8">
        <w:fldChar w:fldCharType="begin"/>
      </w:r>
      <w:r w:rsidRPr="004F2F98">
        <w:rPr>
          <w:lang w:val="en-US"/>
        </w:rPr>
        <w:instrText xml:space="preserve"> STYLEREF 1 \s </w:instrText>
      </w:r>
      <w:r w:rsidRPr="000F56C8">
        <w:fldChar w:fldCharType="end"/>
      </w:r>
      <w:r w:rsidR="004F2F98">
        <w:rPr>
          <w:noProof/>
        </w:rPr>
        <w:t>3.</w:t>
      </w:r>
      <w:r w:rsidRPr="000F56C8">
        <w:t xml:space="preserve"> </w:t>
      </w:r>
      <w:r>
        <w:t xml:space="preserve">Baltic East Project boundaries </w:t>
      </w:r>
    </w:p>
    <w:p w14:paraId="243B1637" w14:textId="354C1F5B" w:rsidR="004244A3" w:rsidRDefault="004244A3" w:rsidP="004244A3">
      <w:pPr>
        <w:spacing w:line="276" w:lineRule="auto"/>
        <w:jc w:val="both"/>
        <w:rPr>
          <w:rFonts w:ascii="Arial" w:hAnsi="Arial" w:cs="Arial"/>
          <w:sz w:val="18"/>
          <w:szCs w:val="18"/>
          <w:lang w:val="en-GB" w:eastAsia="en-US"/>
        </w:rPr>
      </w:pPr>
    </w:p>
    <w:p w14:paraId="445BB9AE" w14:textId="77777777" w:rsidR="00BB4A2F" w:rsidRPr="000F56C8" w:rsidRDefault="00BB4A2F" w:rsidP="004244A3">
      <w:pPr>
        <w:spacing w:line="276" w:lineRule="auto"/>
        <w:jc w:val="both"/>
        <w:rPr>
          <w:rFonts w:ascii="Arial" w:hAnsi="Arial" w:cs="Arial"/>
          <w:sz w:val="18"/>
          <w:szCs w:val="18"/>
          <w:lang w:val="en-GB" w:eastAsia="en-US"/>
        </w:rPr>
      </w:pPr>
    </w:p>
    <w:p w14:paraId="09CFF0A9" w14:textId="77777777" w:rsidR="004244A3" w:rsidRPr="004244A3" w:rsidRDefault="004244A3" w:rsidP="004244A3">
      <w:pPr>
        <w:pStyle w:val="Akapitzlist"/>
        <w:numPr>
          <w:ilvl w:val="0"/>
          <w:numId w:val="7"/>
        </w:numPr>
        <w:jc w:val="both"/>
        <w:outlineLvl w:val="2"/>
        <w:rPr>
          <w:rFonts w:ascii="Arial" w:hAnsi="Arial" w:cs="Arial"/>
          <w:b/>
          <w:lang w:val="en-GB"/>
        </w:rPr>
      </w:pPr>
      <w:bookmarkStart w:id="8" w:name="_Ref54946034"/>
      <w:bookmarkStart w:id="9" w:name="_Toc55375289"/>
      <w:bookmarkStart w:id="10" w:name="_Toc55912512"/>
      <w:bookmarkStart w:id="11" w:name="_Toc201663506"/>
      <w:bookmarkStart w:id="12" w:name="_Toc203117211"/>
      <w:r w:rsidRPr="004244A3">
        <w:rPr>
          <w:rFonts w:ascii="Arial" w:hAnsi="Arial" w:cs="Arial"/>
          <w:b/>
          <w:lang w:val="en-GB"/>
        </w:rPr>
        <w:t>Project Status and Key Dates</w:t>
      </w:r>
      <w:bookmarkEnd w:id="8"/>
      <w:bookmarkEnd w:id="9"/>
      <w:bookmarkEnd w:id="10"/>
      <w:bookmarkEnd w:id="11"/>
      <w:bookmarkEnd w:id="12"/>
    </w:p>
    <w:p w14:paraId="09502B1C" w14:textId="77777777" w:rsidR="004244A3" w:rsidRPr="000F56C8" w:rsidRDefault="004244A3" w:rsidP="004244A3">
      <w:pPr>
        <w:spacing w:line="276" w:lineRule="auto"/>
        <w:jc w:val="both"/>
        <w:rPr>
          <w:rFonts w:ascii="Arial" w:hAnsi="Arial" w:cs="Arial"/>
          <w:b/>
          <w:lang w:val="en-GB"/>
        </w:rPr>
      </w:pPr>
    </w:p>
    <w:p w14:paraId="63928EFC"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ORLEN Neptun owns the ‘location permit’ for Baltic East project (“Concession”) (pol. “</w:t>
      </w:r>
      <w:proofErr w:type="spellStart"/>
      <w:r w:rsidRPr="000F56C8">
        <w:rPr>
          <w:rFonts w:ascii="Arial" w:hAnsi="Arial" w:cs="Arial"/>
          <w:i/>
          <w:sz w:val="18"/>
          <w:szCs w:val="18"/>
          <w:lang w:val="en-GB" w:eastAsia="en-US"/>
        </w:rPr>
        <w:t>pozwolenie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na</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wznoszenie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wykorzystywanie</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sztucznych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wysp</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konstrukcji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i</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urządzeń</w:t>
      </w:r>
      <w:proofErr w:type="spellEnd"/>
      <w:r w:rsidRPr="000F56C8">
        <w:rPr>
          <w:rFonts w:ascii="Arial" w:hAnsi="Arial" w:cs="Arial"/>
          <w:i/>
          <w:sz w:val="18"/>
          <w:szCs w:val="18"/>
          <w:lang w:val="en-GB" w:eastAsia="en-US"/>
        </w:rPr>
        <w:t xml:space="preserve"> w </w:t>
      </w:r>
      <w:proofErr w:type="spellStart"/>
      <w:r w:rsidRPr="000F56C8">
        <w:rPr>
          <w:rFonts w:ascii="Arial" w:hAnsi="Arial" w:cs="Arial"/>
          <w:i/>
          <w:sz w:val="18"/>
          <w:szCs w:val="18"/>
          <w:lang w:val="en-GB" w:eastAsia="en-US"/>
        </w:rPr>
        <w:t>polskich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obszarach</w:t>
      </w:r>
      <w:proofErr w:type="spellEnd"/>
      <w:r w:rsidRPr="000F56C8">
        <w:rPr>
          <w:rFonts w:ascii="Arial" w:hAnsi="Arial" w:cs="Arial"/>
          <w:i/>
          <w:sz w:val="18"/>
          <w:szCs w:val="18"/>
          <w:lang w:val="en-GB" w:eastAsia="en-US"/>
        </w:rPr>
        <w:t xml:space="preserve"> </w:t>
      </w:r>
      <w:proofErr w:type="spellStart"/>
      <w:r w:rsidRPr="000F56C8">
        <w:rPr>
          <w:rFonts w:ascii="Arial" w:hAnsi="Arial" w:cs="Arial"/>
          <w:i/>
          <w:sz w:val="18"/>
          <w:szCs w:val="18"/>
          <w:lang w:val="en-GB" w:eastAsia="en-US"/>
        </w:rPr>
        <w:t>morskich</w:t>
      </w:r>
      <w:proofErr w:type="spellEnd"/>
      <w:r w:rsidRPr="000F56C8">
        <w:rPr>
          <w:rFonts w:ascii="Arial" w:hAnsi="Arial" w:cs="Arial"/>
          <w:sz w:val="18"/>
          <w:szCs w:val="18"/>
          <w:lang w:val="en-GB" w:eastAsia="en-US"/>
        </w:rPr>
        <w:t xml:space="preserve">” – permit to erect and operate artificial islands, structures and devices in the Polish maritime area) for an offshore wind farm on the Baltic Sea with a total power output up to 966 </w:t>
      </w:r>
      <w:proofErr w:type="spellStart"/>
      <w:r w:rsidRPr="000F56C8">
        <w:rPr>
          <w:rFonts w:ascii="Arial" w:hAnsi="Arial" w:cs="Arial"/>
          <w:sz w:val="18"/>
          <w:szCs w:val="18"/>
          <w:lang w:val="en-GB" w:eastAsia="en-US"/>
        </w:rPr>
        <w:t>MWe</w:t>
      </w:r>
      <w:proofErr w:type="spellEnd"/>
      <w:r w:rsidRPr="000F56C8">
        <w:rPr>
          <w:rFonts w:ascii="Arial" w:hAnsi="Arial" w:cs="Arial"/>
          <w:sz w:val="18"/>
          <w:szCs w:val="18"/>
          <w:lang w:val="en-GB" w:eastAsia="en-US"/>
        </w:rPr>
        <w:t xml:space="preserve">. </w:t>
      </w:r>
    </w:p>
    <w:p w14:paraId="08845422" w14:textId="77777777" w:rsidR="004244A3" w:rsidRPr="000F56C8" w:rsidRDefault="004244A3" w:rsidP="004244A3">
      <w:pPr>
        <w:spacing w:line="276" w:lineRule="auto"/>
        <w:jc w:val="both"/>
        <w:rPr>
          <w:rFonts w:ascii="Arial" w:hAnsi="Arial" w:cs="Arial"/>
          <w:sz w:val="18"/>
          <w:szCs w:val="18"/>
          <w:lang w:val="en-GB" w:eastAsia="en-US"/>
        </w:rPr>
      </w:pPr>
    </w:p>
    <w:p w14:paraId="579C561F"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The abovementioned Concession is not related in any way to an offshore nor onshore export cable route, which will require separate permits.</w:t>
      </w:r>
    </w:p>
    <w:p w14:paraId="23A0BED3" w14:textId="77777777" w:rsidR="004244A3" w:rsidRPr="000F56C8" w:rsidRDefault="004244A3" w:rsidP="004244A3">
      <w:pPr>
        <w:spacing w:line="276" w:lineRule="auto"/>
        <w:jc w:val="both"/>
        <w:rPr>
          <w:rFonts w:ascii="Arial" w:hAnsi="Arial" w:cs="Arial"/>
          <w:sz w:val="18"/>
          <w:szCs w:val="18"/>
          <w:lang w:val="en-GB" w:eastAsia="en-US"/>
        </w:rPr>
      </w:pPr>
    </w:p>
    <w:p w14:paraId="68C57D24" w14:textId="77777777" w:rsidR="004244A3" w:rsidRPr="000F56C8" w:rsidRDefault="004244A3" w:rsidP="004244A3">
      <w:pPr>
        <w:spacing w:line="276" w:lineRule="auto"/>
        <w:jc w:val="both"/>
        <w:rPr>
          <w:rFonts w:ascii="Arial" w:hAnsi="Arial" w:cs="Arial"/>
          <w:sz w:val="18"/>
          <w:szCs w:val="18"/>
          <w:lang w:val="en-GB" w:eastAsia="en-US"/>
        </w:rPr>
      </w:pPr>
      <w:r w:rsidRPr="000F56C8">
        <w:rPr>
          <w:rFonts w:ascii="Arial" w:hAnsi="Arial" w:cs="Arial"/>
          <w:sz w:val="18"/>
          <w:szCs w:val="18"/>
          <w:lang w:val="en-GB" w:eastAsia="en-US"/>
        </w:rPr>
        <w:t xml:space="preserve">Within the project area, defined by the Concession, since 2024 Baltic </w:t>
      </w:r>
      <w:r>
        <w:rPr>
          <w:rFonts w:ascii="Arial" w:hAnsi="Arial" w:cs="Arial"/>
          <w:sz w:val="18"/>
          <w:szCs w:val="18"/>
          <w:lang w:val="en-GB" w:eastAsia="en-US"/>
        </w:rPr>
        <w:t>East</w:t>
      </w:r>
      <w:r w:rsidRPr="000F56C8">
        <w:rPr>
          <w:rFonts w:ascii="Arial" w:hAnsi="Arial" w:cs="Arial"/>
          <w:sz w:val="18"/>
          <w:szCs w:val="18"/>
          <w:lang w:val="en-GB" w:eastAsia="en-US"/>
        </w:rPr>
        <w:t xml:space="preserve"> has been developing the project to construct an offshore wind farm with a total power output up to 966 </w:t>
      </w:r>
      <w:proofErr w:type="spellStart"/>
      <w:r w:rsidRPr="000F56C8">
        <w:rPr>
          <w:rFonts w:ascii="Arial" w:hAnsi="Arial" w:cs="Arial"/>
          <w:sz w:val="18"/>
          <w:szCs w:val="18"/>
          <w:lang w:val="en-GB" w:eastAsia="en-US"/>
        </w:rPr>
        <w:t>MWe</w:t>
      </w:r>
      <w:proofErr w:type="spellEnd"/>
      <w:r w:rsidRPr="000F56C8">
        <w:rPr>
          <w:rFonts w:ascii="Arial" w:hAnsi="Arial" w:cs="Arial"/>
          <w:sz w:val="18"/>
          <w:szCs w:val="18"/>
          <w:lang w:val="en-GB" w:eastAsia="en-US"/>
        </w:rPr>
        <w:t xml:space="preserve"> (“Project”) and preparing it for final investment decision (“FID”). Given its current status, the Project may be assessed as being in the stage of early development.</w:t>
      </w:r>
    </w:p>
    <w:p w14:paraId="7B5EBBC5" w14:textId="3C5AE16C" w:rsidR="004244A3" w:rsidRDefault="004244A3" w:rsidP="004244A3">
      <w:pPr>
        <w:spacing w:line="276" w:lineRule="auto"/>
        <w:jc w:val="both"/>
        <w:rPr>
          <w:rFonts w:ascii="Arial" w:hAnsi="Arial" w:cs="Arial"/>
          <w:sz w:val="18"/>
          <w:szCs w:val="18"/>
          <w:lang w:val="en-GB" w:eastAsia="en-US"/>
        </w:rPr>
      </w:pPr>
    </w:p>
    <w:p w14:paraId="0586BDE9" w14:textId="1D3046AC" w:rsidR="005D7CEA" w:rsidRDefault="005D7CEA" w:rsidP="004244A3">
      <w:pPr>
        <w:spacing w:line="276" w:lineRule="auto"/>
        <w:jc w:val="both"/>
        <w:rPr>
          <w:rFonts w:ascii="Arial" w:hAnsi="Arial" w:cs="Arial"/>
          <w:sz w:val="18"/>
          <w:szCs w:val="18"/>
          <w:lang w:val="en-GB" w:eastAsia="en-US"/>
        </w:rPr>
      </w:pPr>
    </w:p>
    <w:p w14:paraId="601402B5" w14:textId="77777777" w:rsidR="005D7CEA" w:rsidRPr="000F56C8" w:rsidRDefault="005D7CEA" w:rsidP="004244A3">
      <w:pPr>
        <w:spacing w:line="276" w:lineRule="auto"/>
        <w:jc w:val="both"/>
        <w:rPr>
          <w:rFonts w:ascii="Arial" w:hAnsi="Arial" w:cs="Arial"/>
          <w:sz w:val="18"/>
          <w:szCs w:val="18"/>
          <w:lang w:val="en-GB" w:eastAsia="en-US"/>
        </w:rPr>
      </w:pPr>
    </w:p>
    <w:p w14:paraId="7C5671C5" w14:textId="77777777" w:rsidR="004244A3" w:rsidRPr="00EE6115" w:rsidRDefault="004244A3" w:rsidP="004244A3">
      <w:pPr>
        <w:spacing w:line="276" w:lineRule="auto"/>
        <w:jc w:val="both"/>
        <w:rPr>
          <w:rFonts w:ascii="Arial" w:hAnsi="Arial" w:cs="Arial"/>
          <w:sz w:val="18"/>
          <w:szCs w:val="18"/>
          <w:lang w:val="en-GB" w:eastAsia="en-US"/>
        </w:rPr>
      </w:pPr>
      <w:r w:rsidRPr="00EE6115">
        <w:rPr>
          <w:rFonts w:ascii="Arial" w:hAnsi="Arial" w:cs="Arial"/>
          <w:sz w:val="18"/>
          <w:szCs w:val="18"/>
          <w:lang w:val="en-GB" w:eastAsia="en-US"/>
        </w:rPr>
        <w:lastRenderedPageBreak/>
        <w:t>Status of the Project development comprises the following:</w:t>
      </w:r>
    </w:p>
    <w:p w14:paraId="1B57807D" w14:textId="77777777"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development:</w:t>
      </w:r>
    </w:p>
    <w:p w14:paraId="06E900DF" w14:textId="77777777" w:rsidR="004244A3" w:rsidRPr="00EE6115" w:rsidRDefault="004244A3" w:rsidP="004244A3">
      <w:pPr>
        <w:pStyle w:val="Akapitzlist"/>
        <w:numPr>
          <w:ilvl w:val="1"/>
          <w:numId w:val="2"/>
        </w:numPr>
        <w:jc w:val="both"/>
        <w:rPr>
          <w:rFonts w:ascii="Arial" w:hAnsi="Arial" w:cs="Arial"/>
          <w:sz w:val="18"/>
          <w:szCs w:val="18"/>
          <w:lang w:val="en-GB"/>
        </w:rPr>
      </w:pPr>
      <w:r w:rsidRPr="00EE6115">
        <w:rPr>
          <w:rFonts w:ascii="Arial" w:hAnsi="Arial" w:cs="Arial"/>
          <w:sz w:val="18"/>
          <w:szCs w:val="18"/>
          <w:lang w:val="en-GB"/>
        </w:rPr>
        <w:t>2025 December - Contract for Difference Auction</w:t>
      </w:r>
    </w:p>
    <w:p w14:paraId="33D32D19" w14:textId="77777777" w:rsidR="004244A3" w:rsidRPr="00EE6115" w:rsidRDefault="004244A3" w:rsidP="004244A3">
      <w:pPr>
        <w:pStyle w:val="Akapitzlist"/>
        <w:numPr>
          <w:ilvl w:val="0"/>
          <w:numId w:val="2"/>
        </w:numPr>
        <w:jc w:val="both"/>
        <w:rPr>
          <w:rFonts w:ascii="Arial" w:hAnsi="Arial" w:cs="Arial"/>
          <w:sz w:val="18"/>
          <w:szCs w:val="18"/>
          <w:lang w:val="en-GB"/>
        </w:rPr>
      </w:pPr>
      <w:r w:rsidRPr="00EE6115">
        <w:rPr>
          <w:rFonts w:ascii="Arial" w:hAnsi="Arial" w:cs="Arial"/>
          <w:sz w:val="18"/>
          <w:szCs w:val="18"/>
          <w:lang w:val="en-GB"/>
        </w:rPr>
        <w:t>procurement:</w:t>
      </w:r>
    </w:p>
    <w:p w14:paraId="4775F9DD" w14:textId="77777777" w:rsidR="004244A3" w:rsidRPr="000F56C8" w:rsidRDefault="004244A3" w:rsidP="004244A3">
      <w:pPr>
        <w:pStyle w:val="Akapitzlist"/>
        <w:numPr>
          <w:ilvl w:val="1"/>
          <w:numId w:val="2"/>
        </w:numPr>
        <w:jc w:val="both"/>
        <w:rPr>
          <w:rFonts w:ascii="Arial" w:hAnsi="Arial" w:cs="Arial"/>
          <w:sz w:val="18"/>
          <w:szCs w:val="18"/>
          <w:lang w:val="en-GB"/>
        </w:rPr>
      </w:pPr>
      <w:r w:rsidRPr="000F56C8">
        <w:rPr>
          <w:rFonts w:ascii="Arial" w:hAnsi="Arial" w:cs="Arial"/>
          <w:sz w:val="18"/>
          <w:szCs w:val="18"/>
          <w:lang w:val="en-GB"/>
        </w:rPr>
        <w:t>2025-2028 – procurement processes for main components supply and installation are planned</w:t>
      </w:r>
      <w:r>
        <w:rPr>
          <w:rFonts w:ascii="Arial" w:hAnsi="Arial" w:cs="Arial"/>
          <w:sz w:val="18"/>
          <w:szCs w:val="18"/>
          <w:lang w:val="en-GB"/>
        </w:rPr>
        <w:t>;</w:t>
      </w:r>
    </w:p>
    <w:p w14:paraId="13FF6EB3" w14:textId="77777777" w:rsidR="004244A3" w:rsidRPr="000F56C8" w:rsidRDefault="004244A3" w:rsidP="004244A3">
      <w:pPr>
        <w:pStyle w:val="Akapitzlist"/>
        <w:numPr>
          <w:ilvl w:val="0"/>
          <w:numId w:val="2"/>
        </w:numPr>
        <w:jc w:val="both"/>
        <w:rPr>
          <w:rFonts w:ascii="Arial" w:hAnsi="Arial" w:cs="Arial"/>
          <w:sz w:val="18"/>
          <w:szCs w:val="18"/>
          <w:lang w:val="en-GB"/>
        </w:rPr>
      </w:pPr>
      <w:r w:rsidRPr="000F56C8">
        <w:rPr>
          <w:rFonts w:ascii="Arial" w:hAnsi="Arial" w:cs="Arial"/>
          <w:sz w:val="18"/>
          <w:szCs w:val="18"/>
          <w:lang w:val="en-GB"/>
        </w:rPr>
        <w:t>construction phase:</w:t>
      </w:r>
    </w:p>
    <w:p w14:paraId="49469395"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2029 – Final Investment Decision is expected;</w:t>
      </w:r>
    </w:p>
    <w:p w14:paraId="33988AB4"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 – Foundation installation;</w:t>
      </w:r>
    </w:p>
    <w:p w14:paraId="7E0DF17B" w14:textId="77777777" w:rsidR="004244A3" w:rsidRPr="007123D4" w:rsidRDefault="004244A3" w:rsidP="004244A3">
      <w:pPr>
        <w:pStyle w:val="Akapitzlist"/>
        <w:numPr>
          <w:ilvl w:val="1"/>
          <w:numId w:val="2"/>
        </w:numPr>
        <w:jc w:val="both"/>
        <w:rPr>
          <w:rFonts w:ascii="Arial" w:hAnsi="Arial" w:cs="Arial"/>
          <w:sz w:val="18"/>
          <w:szCs w:val="18"/>
          <w:lang w:val="en-GB"/>
        </w:rPr>
      </w:pPr>
      <w:r w:rsidRPr="007123D4">
        <w:rPr>
          <w:rFonts w:ascii="Arial" w:hAnsi="Arial" w:cs="Arial"/>
          <w:sz w:val="18"/>
          <w:szCs w:val="18"/>
          <w:lang w:val="en-GB"/>
        </w:rPr>
        <w:t>2030/2031 – turbine installation is expected (it is expected to install turbines with grid available);</w:t>
      </w:r>
    </w:p>
    <w:p w14:paraId="77F5F092" w14:textId="77777777" w:rsidR="004244A3" w:rsidRPr="007123D4" w:rsidRDefault="004244A3" w:rsidP="004244A3">
      <w:pPr>
        <w:pStyle w:val="Akapitzlist"/>
        <w:numPr>
          <w:ilvl w:val="1"/>
          <w:numId w:val="2"/>
        </w:numPr>
        <w:ind w:left="1434" w:hanging="357"/>
        <w:jc w:val="both"/>
        <w:rPr>
          <w:rFonts w:ascii="Arial" w:hAnsi="Arial" w:cs="Arial"/>
          <w:sz w:val="18"/>
          <w:szCs w:val="18"/>
          <w:lang w:val="en-GB"/>
        </w:rPr>
      </w:pPr>
      <w:r w:rsidRPr="007123D4">
        <w:rPr>
          <w:rFonts w:ascii="Arial" w:hAnsi="Arial" w:cs="Arial"/>
          <w:sz w:val="18"/>
          <w:szCs w:val="18"/>
          <w:lang w:val="en-GB"/>
        </w:rPr>
        <w:t>2032 – commencement of commercial operation.</w:t>
      </w:r>
    </w:p>
    <w:p w14:paraId="311AF8AB" w14:textId="77777777" w:rsidR="004244A3" w:rsidRDefault="004244A3" w:rsidP="004244A3">
      <w:pPr>
        <w:pStyle w:val="Akapitzlist"/>
        <w:ind w:left="1434"/>
        <w:jc w:val="both"/>
        <w:rPr>
          <w:rFonts w:ascii="Arial" w:hAnsi="Arial" w:cs="Arial"/>
          <w:sz w:val="18"/>
          <w:szCs w:val="18"/>
          <w:lang w:val="en-GB"/>
        </w:rPr>
      </w:pPr>
    </w:p>
    <w:p w14:paraId="5B0A0A5F" w14:textId="77777777" w:rsidR="00721D78" w:rsidRDefault="00721D78" w:rsidP="00721D78">
      <w:pPr>
        <w:pStyle w:val="Akapitzlist"/>
        <w:ind w:left="1146"/>
        <w:jc w:val="both"/>
        <w:outlineLvl w:val="2"/>
        <w:rPr>
          <w:rFonts w:ascii="Arial" w:hAnsi="Arial" w:cs="Arial"/>
          <w:b/>
          <w:lang w:val="en-GB"/>
        </w:rPr>
      </w:pPr>
      <w:bookmarkStart w:id="13" w:name="_Toc55912514"/>
      <w:bookmarkStart w:id="14" w:name="_Toc201663508"/>
    </w:p>
    <w:p w14:paraId="7A0B500D" w14:textId="1C0731B1" w:rsidR="004244A3" w:rsidRPr="004244A3" w:rsidRDefault="004244A3" w:rsidP="004244A3">
      <w:pPr>
        <w:pStyle w:val="Akapitzlist"/>
        <w:numPr>
          <w:ilvl w:val="0"/>
          <w:numId w:val="7"/>
        </w:numPr>
        <w:jc w:val="both"/>
        <w:outlineLvl w:val="2"/>
        <w:rPr>
          <w:rFonts w:ascii="Arial" w:hAnsi="Arial" w:cs="Arial"/>
          <w:b/>
          <w:lang w:val="en-GB"/>
        </w:rPr>
      </w:pPr>
      <w:bookmarkStart w:id="15" w:name="_Toc203117212"/>
      <w:r w:rsidRPr="004244A3">
        <w:rPr>
          <w:rFonts w:ascii="Arial" w:hAnsi="Arial" w:cs="Arial"/>
          <w:b/>
          <w:lang w:val="en-GB"/>
        </w:rPr>
        <w:t>Project technical assumptions</w:t>
      </w:r>
      <w:bookmarkEnd w:id="13"/>
      <w:bookmarkEnd w:id="14"/>
      <w:bookmarkEnd w:id="15"/>
    </w:p>
    <w:p w14:paraId="00C1BAC9"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The Baltic East offshore wind farm has been granted a maximum capacity of up to 966 MW (grid connection capacity – 960 MW). The final offshore wind farm capacity (not higher than the above) is still to be determined, but at this stage one may expect that the value will be maximised unless there will be justified commercial or technical factors to reduce it. The type of the turbine is still to be determined and depends – among others – on business case for the Project with different offerings. The Project target is to utilise the latest turbine technology available, so one may expect that any potential transport and installation scope may consist of 65+ WTGs in case of ordering turbines already commonly known or a few less depends on turbines power output. The WTG substructure types are also under evaluation with the most probable substructure types being </w:t>
      </w:r>
      <w:proofErr w:type="spellStart"/>
      <w:r w:rsidRPr="00E402CA">
        <w:rPr>
          <w:rFonts w:ascii="Arial" w:hAnsi="Arial" w:cs="Arial"/>
          <w:sz w:val="18"/>
          <w:szCs w:val="18"/>
          <w:lang w:val="en-GB" w:eastAsia="en-US"/>
        </w:rPr>
        <w:t>Monopiles</w:t>
      </w:r>
      <w:proofErr w:type="spellEnd"/>
      <w:r w:rsidRPr="00E402CA">
        <w:rPr>
          <w:rFonts w:ascii="Arial" w:hAnsi="Arial" w:cs="Arial"/>
          <w:sz w:val="18"/>
          <w:szCs w:val="18"/>
          <w:lang w:val="en-GB" w:eastAsia="en-US"/>
        </w:rPr>
        <w:t>(</w:t>
      </w:r>
      <w:r>
        <w:rPr>
          <w:rFonts w:ascii="Arial" w:hAnsi="Arial" w:cs="Arial"/>
          <w:sz w:val="18"/>
          <w:szCs w:val="18"/>
          <w:lang w:val="en-GB" w:eastAsia="en-US"/>
        </w:rPr>
        <w:t>with Transition Pieces or TP-less</w:t>
      </w:r>
      <w:r w:rsidRPr="00E402CA">
        <w:rPr>
          <w:rFonts w:ascii="Arial" w:hAnsi="Arial" w:cs="Arial"/>
          <w:sz w:val="18"/>
          <w:szCs w:val="18"/>
          <w:lang w:val="en-GB" w:eastAsia="en-US"/>
        </w:rPr>
        <w:t xml:space="preserve">) or pre-piled jackets. The Inter-Array Cables (IAC) network will connect each WTG in strings or loops to the project’s Offshore Substations (OSSs). It is expected that the IAC voltage level will be 66 kV. The number of OSSs and the High Voltage (HV) level of the electricity export system has not been determined, however, there are generally expected 2 OSS offshore and 220kV AC power export system, connected to onshore 220/400 kV substation. </w:t>
      </w:r>
    </w:p>
    <w:p w14:paraId="23275E21" w14:textId="77777777" w:rsidR="004244A3" w:rsidRPr="00E402CA" w:rsidRDefault="004244A3" w:rsidP="004244A3">
      <w:pPr>
        <w:spacing w:line="276" w:lineRule="auto"/>
        <w:jc w:val="both"/>
        <w:rPr>
          <w:rFonts w:ascii="Arial" w:hAnsi="Arial" w:cs="Arial"/>
          <w:sz w:val="18"/>
          <w:szCs w:val="18"/>
          <w:lang w:val="en-GB" w:eastAsia="en-US"/>
        </w:rPr>
      </w:pPr>
    </w:p>
    <w:p w14:paraId="3852D8CE" w14:textId="77777777" w:rsidR="004244A3" w:rsidRPr="004244A3" w:rsidRDefault="004244A3" w:rsidP="004244A3">
      <w:pPr>
        <w:pStyle w:val="Akapitzlist"/>
        <w:numPr>
          <w:ilvl w:val="0"/>
          <w:numId w:val="7"/>
        </w:numPr>
        <w:jc w:val="both"/>
        <w:outlineLvl w:val="2"/>
        <w:rPr>
          <w:rFonts w:ascii="Arial" w:hAnsi="Arial" w:cs="Arial"/>
          <w:b/>
          <w:lang w:val="en-GB"/>
        </w:rPr>
      </w:pPr>
      <w:bookmarkStart w:id="16" w:name="_Toc18927275"/>
      <w:bookmarkStart w:id="17" w:name="_Toc20913153"/>
      <w:bookmarkStart w:id="18" w:name="_Toc55375291"/>
      <w:bookmarkStart w:id="19" w:name="_Toc55912515"/>
      <w:bookmarkStart w:id="20" w:name="_Toc201663509"/>
      <w:bookmarkStart w:id="21" w:name="_Toc203117213"/>
      <w:r w:rsidRPr="004244A3">
        <w:rPr>
          <w:rFonts w:ascii="Arial" w:hAnsi="Arial" w:cs="Arial"/>
          <w:b/>
          <w:lang w:val="en-GB"/>
        </w:rPr>
        <w:t>Project wind, current, tidal, environmental and soil conditions</w:t>
      </w:r>
      <w:bookmarkEnd w:id="16"/>
      <w:bookmarkEnd w:id="17"/>
      <w:bookmarkEnd w:id="18"/>
      <w:bookmarkEnd w:id="19"/>
      <w:bookmarkEnd w:id="20"/>
      <w:bookmarkEnd w:id="21"/>
    </w:p>
    <w:p w14:paraId="7E8504F4" w14:textId="77777777" w:rsidR="004244A3"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 xml:space="preserve">At the moment the met-ocean and geological conditions for Baltic East offshore wind farm are only partially known with studies, analysis and surveys being done in the near future in order to gain significantly more knowledge about the site specific conditions. </w:t>
      </w:r>
    </w:p>
    <w:p w14:paraId="501BFF4C" w14:textId="77777777" w:rsidR="004244A3" w:rsidRPr="00E402CA" w:rsidRDefault="004244A3" w:rsidP="004244A3">
      <w:pPr>
        <w:spacing w:line="276" w:lineRule="auto"/>
        <w:jc w:val="both"/>
        <w:rPr>
          <w:rFonts w:ascii="Arial" w:hAnsi="Arial" w:cs="Arial"/>
          <w:sz w:val="18"/>
          <w:szCs w:val="18"/>
          <w:lang w:val="en-GB" w:eastAsia="en-US"/>
        </w:rPr>
      </w:pPr>
    </w:p>
    <w:p w14:paraId="5D1DEDC9" w14:textId="77777777" w:rsidR="004244A3" w:rsidRPr="004244A3" w:rsidRDefault="004244A3" w:rsidP="004244A3">
      <w:pPr>
        <w:pStyle w:val="Akapitzlist"/>
        <w:numPr>
          <w:ilvl w:val="0"/>
          <w:numId w:val="7"/>
        </w:numPr>
        <w:jc w:val="both"/>
        <w:outlineLvl w:val="3"/>
        <w:rPr>
          <w:rFonts w:ascii="Arial" w:hAnsi="Arial" w:cs="Arial"/>
          <w:b/>
          <w:lang w:val="en-GB"/>
        </w:rPr>
      </w:pPr>
      <w:bookmarkStart w:id="22" w:name="_Toc55375292"/>
      <w:bookmarkStart w:id="23" w:name="_Toc55912516"/>
      <w:r w:rsidRPr="004244A3">
        <w:rPr>
          <w:rFonts w:ascii="Arial" w:hAnsi="Arial" w:cs="Arial"/>
          <w:b/>
          <w:lang w:val="en-GB"/>
        </w:rPr>
        <w:t>Wind Speed Rose</w:t>
      </w:r>
      <w:bookmarkEnd w:id="22"/>
      <w:bookmarkEnd w:id="23"/>
    </w:p>
    <w:p w14:paraId="62C14EB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prevailing wind directions in the offshore Baltic East site is expected to be West and South West with 15-20% of time being covered by wind from this direction. Other wind directions are expected to be quite evenly distributed in time.</w:t>
      </w:r>
    </w:p>
    <w:p w14:paraId="2CF539F1" w14:textId="77777777" w:rsidR="004244A3" w:rsidRPr="00E402CA" w:rsidRDefault="004244A3" w:rsidP="004244A3">
      <w:pPr>
        <w:spacing w:line="276" w:lineRule="auto"/>
        <w:jc w:val="both"/>
        <w:rPr>
          <w:rFonts w:ascii="Arial" w:hAnsi="Arial" w:cs="Arial"/>
          <w:sz w:val="18"/>
          <w:szCs w:val="18"/>
          <w:lang w:val="en-GB" w:eastAsia="en-US"/>
        </w:rPr>
      </w:pPr>
    </w:p>
    <w:p w14:paraId="56BC9144"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The average wind speed in the offshore Baltic East site is expected to be between 9 m/s and 11 m/s. The maximum wind speed should not exceed 50 m/s.</w:t>
      </w:r>
    </w:p>
    <w:p w14:paraId="1B1DB8D2" w14:textId="77777777" w:rsidR="004244A3" w:rsidRPr="00E402CA" w:rsidRDefault="004244A3" w:rsidP="004244A3">
      <w:pPr>
        <w:spacing w:line="276" w:lineRule="auto"/>
        <w:jc w:val="both"/>
        <w:rPr>
          <w:rFonts w:ascii="Arial" w:hAnsi="Arial" w:cs="Arial"/>
          <w:sz w:val="18"/>
          <w:szCs w:val="18"/>
          <w:lang w:val="en-GB" w:eastAsia="en-US"/>
        </w:rPr>
      </w:pPr>
    </w:p>
    <w:p w14:paraId="5E47FEF8"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Above-mentioned values are expected to be confirmed / verified by measurement campaign commenced in 2025.</w:t>
      </w:r>
    </w:p>
    <w:p w14:paraId="0B0D5028" w14:textId="77777777" w:rsidR="004244A3" w:rsidRPr="00E402CA" w:rsidRDefault="004244A3" w:rsidP="004244A3">
      <w:pPr>
        <w:spacing w:line="276" w:lineRule="auto"/>
        <w:jc w:val="both"/>
        <w:rPr>
          <w:rFonts w:ascii="Arial" w:hAnsi="Arial" w:cs="Arial"/>
          <w:sz w:val="18"/>
          <w:szCs w:val="18"/>
          <w:lang w:val="en-GB" w:eastAsia="en-US"/>
        </w:rPr>
      </w:pPr>
    </w:p>
    <w:p w14:paraId="18C8BCC4"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Waves</w:t>
      </w:r>
    </w:p>
    <w:p w14:paraId="24ED661A"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It is expected that majority of waves on site will have westerly direction.</w:t>
      </w:r>
    </w:p>
    <w:p w14:paraId="4272A772" w14:textId="77777777" w:rsidR="004244A3" w:rsidRPr="00E402CA" w:rsidRDefault="004244A3" w:rsidP="004244A3">
      <w:pPr>
        <w:spacing w:line="276" w:lineRule="auto"/>
        <w:jc w:val="both"/>
        <w:rPr>
          <w:rFonts w:ascii="Arial" w:hAnsi="Arial" w:cs="Arial"/>
          <w:sz w:val="18"/>
          <w:szCs w:val="18"/>
          <w:lang w:val="en-GB" w:eastAsia="en-US"/>
        </w:rPr>
      </w:pPr>
    </w:p>
    <w:p w14:paraId="438E9C80" w14:textId="77777777"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Waves directions are expected to be confirmed / verified by measurement campaign commenced in 2025.</w:t>
      </w:r>
    </w:p>
    <w:p w14:paraId="5116BD68" w14:textId="77777777" w:rsidR="004244A3" w:rsidRPr="00E402CA" w:rsidRDefault="004244A3" w:rsidP="004244A3">
      <w:pPr>
        <w:spacing w:line="276" w:lineRule="auto"/>
        <w:jc w:val="both"/>
        <w:rPr>
          <w:rFonts w:ascii="Arial" w:hAnsi="Arial" w:cs="Arial"/>
          <w:sz w:val="18"/>
          <w:szCs w:val="18"/>
          <w:lang w:val="en-GB" w:eastAsia="en-US"/>
        </w:rPr>
      </w:pPr>
    </w:p>
    <w:p w14:paraId="706D0FA0" w14:textId="77777777" w:rsidR="004244A3" w:rsidRPr="004244A3" w:rsidRDefault="004244A3" w:rsidP="004244A3">
      <w:pPr>
        <w:pStyle w:val="Akapitzlist"/>
        <w:numPr>
          <w:ilvl w:val="0"/>
          <w:numId w:val="7"/>
        </w:numPr>
        <w:jc w:val="both"/>
        <w:outlineLvl w:val="3"/>
        <w:rPr>
          <w:rFonts w:ascii="Arial" w:hAnsi="Arial" w:cs="Arial"/>
          <w:b/>
          <w:lang w:val="en-GB"/>
        </w:rPr>
      </w:pPr>
      <w:bookmarkStart w:id="24" w:name="_Toc55375294"/>
      <w:bookmarkStart w:id="25" w:name="_Toc55912518"/>
      <w:r w:rsidRPr="004244A3">
        <w:rPr>
          <w:rFonts w:ascii="Arial" w:hAnsi="Arial" w:cs="Arial"/>
          <w:b/>
          <w:lang w:val="en-GB"/>
        </w:rPr>
        <w:t>Tides</w:t>
      </w:r>
    </w:p>
    <w:p w14:paraId="22FD6CF4" w14:textId="77777777" w:rsidR="004244A3" w:rsidRDefault="004244A3" w:rsidP="004244A3">
      <w:pPr>
        <w:pStyle w:val="Akapitzlist"/>
        <w:spacing w:after="0"/>
        <w:ind w:left="1077"/>
        <w:jc w:val="both"/>
        <w:outlineLvl w:val="3"/>
        <w:rPr>
          <w:rFonts w:ascii="Arial" w:hAnsi="Arial" w:cs="Arial"/>
          <w:b/>
          <w:sz w:val="20"/>
          <w:szCs w:val="20"/>
          <w:lang w:val="en-GB"/>
        </w:rPr>
      </w:pPr>
    </w:p>
    <w:p w14:paraId="6F49A1FB" w14:textId="77777777" w:rsidR="004244A3" w:rsidRDefault="004244A3" w:rsidP="004244A3">
      <w:pPr>
        <w:jc w:val="both"/>
        <w:outlineLvl w:val="3"/>
        <w:rPr>
          <w:rFonts w:ascii="Arial" w:hAnsi="Arial" w:cs="Arial"/>
          <w:sz w:val="18"/>
          <w:szCs w:val="18"/>
          <w:lang w:val="en-GB" w:eastAsia="en-US"/>
        </w:rPr>
      </w:pPr>
      <w:r w:rsidRPr="00B41E3B">
        <w:rPr>
          <w:rFonts w:ascii="Arial" w:hAnsi="Arial" w:cs="Arial"/>
          <w:sz w:val="18"/>
          <w:szCs w:val="18"/>
          <w:lang w:val="en-GB" w:eastAsia="en-US"/>
        </w:rPr>
        <w:t>The Baltic Sea is a non-tidal sea, meaning tidal ranges are very limited, typically only a few centimetres.</w:t>
      </w:r>
      <w:r>
        <w:rPr>
          <w:rFonts w:ascii="Arial" w:hAnsi="Arial" w:cs="Arial"/>
          <w:sz w:val="18"/>
          <w:szCs w:val="18"/>
          <w:lang w:val="en-GB" w:eastAsia="en-US"/>
        </w:rPr>
        <w:t xml:space="preserve"> </w:t>
      </w:r>
      <w:r w:rsidRPr="00B41E3B">
        <w:rPr>
          <w:rFonts w:ascii="Arial" w:hAnsi="Arial" w:cs="Arial"/>
          <w:sz w:val="18"/>
          <w:szCs w:val="18"/>
          <w:lang w:val="en-GB" w:eastAsia="en-US"/>
        </w:rPr>
        <w:t>Tides have an insignificant impact on water levels, current dynamics, or logistics for the Baltic East project.</w:t>
      </w:r>
    </w:p>
    <w:p w14:paraId="76D8161D" w14:textId="7AB8CBDE" w:rsidR="004244A3" w:rsidRDefault="004244A3" w:rsidP="004244A3">
      <w:pPr>
        <w:jc w:val="both"/>
        <w:outlineLvl w:val="3"/>
        <w:rPr>
          <w:rFonts w:ascii="Arial" w:hAnsi="Arial" w:cs="Arial"/>
          <w:sz w:val="18"/>
          <w:szCs w:val="18"/>
          <w:lang w:val="en-GB" w:eastAsia="en-US"/>
        </w:rPr>
      </w:pPr>
    </w:p>
    <w:p w14:paraId="1E71F5FE" w14:textId="77777777" w:rsidR="005D7CEA" w:rsidRPr="00B41E3B" w:rsidRDefault="005D7CEA" w:rsidP="004244A3">
      <w:pPr>
        <w:jc w:val="both"/>
        <w:outlineLvl w:val="3"/>
        <w:rPr>
          <w:rFonts w:ascii="Arial" w:hAnsi="Arial" w:cs="Arial"/>
          <w:sz w:val="18"/>
          <w:szCs w:val="18"/>
          <w:lang w:val="en-GB" w:eastAsia="en-US"/>
        </w:rPr>
      </w:pPr>
    </w:p>
    <w:p w14:paraId="5AD54128"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lastRenderedPageBreak/>
        <w:t>Currents</w:t>
      </w:r>
    </w:p>
    <w:p w14:paraId="423187A7" w14:textId="77777777" w:rsidR="004244A3" w:rsidRDefault="004244A3" w:rsidP="004244A3">
      <w:pPr>
        <w:pStyle w:val="Akapitzlist"/>
        <w:spacing w:after="0"/>
        <w:ind w:left="1077"/>
        <w:jc w:val="both"/>
        <w:outlineLvl w:val="3"/>
        <w:rPr>
          <w:rFonts w:ascii="Arial" w:hAnsi="Arial" w:cs="Arial"/>
          <w:b/>
          <w:sz w:val="20"/>
          <w:szCs w:val="20"/>
          <w:lang w:val="en-GB"/>
        </w:rPr>
      </w:pPr>
    </w:p>
    <w:p w14:paraId="012DEFA2" w14:textId="77777777" w:rsidR="004244A3" w:rsidRPr="00C636F5" w:rsidRDefault="004244A3" w:rsidP="004244A3">
      <w:pPr>
        <w:jc w:val="both"/>
        <w:outlineLvl w:val="3"/>
        <w:rPr>
          <w:rFonts w:ascii="Arial" w:hAnsi="Arial" w:cs="Arial"/>
          <w:sz w:val="18"/>
          <w:szCs w:val="18"/>
          <w:lang w:val="en-GB" w:eastAsia="en-US"/>
        </w:rPr>
      </w:pPr>
      <w:r w:rsidRPr="00C636F5">
        <w:rPr>
          <w:rFonts w:ascii="Arial" w:hAnsi="Arial" w:cs="Arial"/>
          <w:sz w:val="18"/>
          <w:szCs w:val="18"/>
          <w:lang w:val="en-GB" w:eastAsia="en-US"/>
        </w:rPr>
        <w:t xml:space="preserve">At the Baltic East wind farm location on the </w:t>
      </w:r>
      <w:proofErr w:type="spellStart"/>
      <w:r w:rsidRPr="00C636F5">
        <w:rPr>
          <w:rFonts w:ascii="Arial" w:hAnsi="Arial" w:cs="Arial"/>
          <w:sz w:val="18"/>
          <w:szCs w:val="18"/>
          <w:lang w:val="en-GB" w:eastAsia="en-US"/>
        </w:rPr>
        <w:t>Słupsk</w:t>
      </w:r>
      <w:proofErr w:type="spellEnd"/>
      <w:r w:rsidRPr="00C636F5">
        <w:rPr>
          <w:rFonts w:ascii="Arial" w:hAnsi="Arial" w:cs="Arial"/>
          <w:sz w:val="18"/>
          <w:szCs w:val="18"/>
          <w:lang w:val="en-GB" w:eastAsia="en-US"/>
        </w:rPr>
        <w:t xml:space="preserve"> Bank, ocean currents are primarily driven by wind and atmospheric pressure gradients. Surface currents typically range from 0.2 to 0.5 m/s, but can intensify during strong wind events. </w:t>
      </w:r>
    </w:p>
    <w:p w14:paraId="5A4EC4C9" w14:textId="77777777" w:rsidR="004244A3" w:rsidRPr="0032706B" w:rsidRDefault="004244A3" w:rsidP="004244A3">
      <w:pPr>
        <w:jc w:val="both"/>
        <w:outlineLvl w:val="3"/>
        <w:rPr>
          <w:rFonts w:ascii="Arial" w:hAnsi="Arial" w:cs="Arial"/>
          <w:sz w:val="18"/>
          <w:szCs w:val="18"/>
          <w:lang w:val="en-GB" w:eastAsia="en-US"/>
        </w:rPr>
      </w:pPr>
      <w:r w:rsidRPr="00C636F5">
        <w:rPr>
          <w:rFonts w:ascii="Arial" w:hAnsi="Arial" w:cs="Arial"/>
          <w:sz w:val="18"/>
          <w:szCs w:val="18"/>
          <w:lang w:val="en-GB" w:eastAsia="en-US"/>
        </w:rPr>
        <w:t xml:space="preserve">In the deeper layers, gravity-driven bottom currents occur due to inflows of saline water from the North Sea, known as </w:t>
      </w:r>
      <w:r w:rsidRPr="0032706B">
        <w:rPr>
          <w:rFonts w:ascii="Arial" w:hAnsi="Arial" w:cs="Arial"/>
          <w:sz w:val="18"/>
          <w:szCs w:val="18"/>
          <w:lang w:val="en-GB" w:eastAsia="en-US"/>
        </w:rPr>
        <w:t xml:space="preserve">Major Baltic Inflows. These denser saline waters sink and travel along the seafloor through the </w:t>
      </w:r>
      <w:proofErr w:type="spellStart"/>
      <w:r w:rsidRPr="0032706B">
        <w:rPr>
          <w:rFonts w:ascii="Arial" w:hAnsi="Arial" w:cs="Arial"/>
          <w:sz w:val="18"/>
          <w:szCs w:val="18"/>
          <w:lang w:val="en-GB" w:eastAsia="en-US"/>
        </w:rPr>
        <w:t>Słupsk</w:t>
      </w:r>
      <w:proofErr w:type="spellEnd"/>
      <w:r w:rsidRPr="0032706B">
        <w:rPr>
          <w:rFonts w:ascii="Arial" w:hAnsi="Arial" w:cs="Arial"/>
          <w:sz w:val="18"/>
          <w:szCs w:val="18"/>
          <w:lang w:val="en-GB" w:eastAsia="en-US"/>
        </w:rPr>
        <w:t xml:space="preserve"> Furrow, potentially influencing sediment movement and foundation stability.</w:t>
      </w:r>
    </w:p>
    <w:p w14:paraId="1AE02FEF" w14:textId="77777777" w:rsidR="004244A3" w:rsidRPr="0032706B" w:rsidRDefault="004244A3" w:rsidP="004244A3">
      <w:pPr>
        <w:jc w:val="both"/>
        <w:outlineLvl w:val="3"/>
        <w:rPr>
          <w:rFonts w:ascii="Arial" w:hAnsi="Arial" w:cs="Arial"/>
          <w:sz w:val="18"/>
          <w:szCs w:val="18"/>
          <w:lang w:val="en-GB" w:eastAsia="en-US"/>
        </w:rPr>
      </w:pPr>
      <w:r w:rsidRPr="0032706B">
        <w:rPr>
          <w:rFonts w:ascii="Arial" w:hAnsi="Arial" w:cs="Arial"/>
          <w:sz w:val="18"/>
          <w:szCs w:val="18"/>
          <w:lang w:val="en-GB" w:eastAsia="en-US"/>
        </w:rPr>
        <w:t>Short-term oscillatory currents also occur, with periods ranging from 11 to 31 hours, causing periodic shifts in current direction and velocity throughout the water column. While not extreme, these oscillations can affect installation operations.</w:t>
      </w:r>
    </w:p>
    <w:p w14:paraId="259BABC2" w14:textId="77777777" w:rsidR="004244A3" w:rsidRDefault="004244A3" w:rsidP="004244A3">
      <w:pPr>
        <w:jc w:val="both"/>
        <w:outlineLvl w:val="3"/>
        <w:rPr>
          <w:rFonts w:ascii="Arial" w:hAnsi="Arial" w:cs="Arial"/>
          <w:sz w:val="18"/>
          <w:szCs w:val="18"/>
          <w:lang w:val="en-GB" w:eastAsia="en-US"/>
        </w:rPr>
      </w:pPr>
      <w:r w:rsidRPr="0032706B">
        <w:rPr>
          <w:rFonts w:ascii="Arial" w:hAnsi="Arial" w:cs="Arial"/>
          <w:sz w:val="18"/>
          <w:szCs w:val="18"/>
          <w:lang w:val="en-GB" w:eastAsia="en-US"/>
        </w:rPr>
        <w:t xml:space="preserve">Overall, current behaviour in the Baltic East area is relatively stable </w:t>
      </w:r>
      <w:r w:rsidRPr="00C636F5">
        <w:rPr>
          <w:rFonts w:ascii="Arial" w:hAnsi="Arial" w:cs="Arial"/>
          <w:sz w:val="18"/>
          <w:szCs w:val="18"/>
          <w:lang w:val="en-GB" w:eastAsia="en-US"/>
        </w:rPr>
        <w:t xml:space="preserve">and predictable, but bottom-layer hydrodynamics during MBIs require careful monitoring and engineering consideration.   </w:t>
      </w:r>
    </w:p>
    <w:p w14:paraId="6018F356" w14:textId="237C8EB9" w:rsidR="004244A3" w:rsidRDefault="004244A3" w:rsidP="004244A3">
      <w:pPr>
        <w:jc w:val="both"/>
        <w:outlineLvl w:val="3"/>
        <w:rPr>
          <w:rFonts w:ascii="Arial" w:hAnsi="Arial" w:cs="Arial"/>
          <w:sz w:val="18"/>
          <w:szCs w:val="18"/>
          <w:lang w:val="en-GB" w:eastAsia="en-US"/>
        </w:rPr>
      </w:pPr>
    </w:p>
    <w:p w14:paraId="7C7C1C28" w14:textId="40511947" w:rsidR="00721D78" w:rsidRDefault="00721D78" w:rsidP="004244A3">
      <w:pPr>
        <w:jc w:val="both"/>
        <w:outlineLvl w:val="3"/>
        <w:rPr>
          <w:rFonts w:ascii="Arial" w:hAnsi="Arial" w:cs="Arial"/>
          <w:sz w:val="18"/>
          <w:szCs w:val="18"/>
          <w:lang w:val="en-GB" w:eastAsia="en-US"/>
        </w:rPr>
      </w:pPr>
    </w:p>
    <w:p w14:paraId="02437E41" w14:textId="724F45B3" w:rsidR="00721D78" w:rsidRDefault="00721D78" w:rsidP="004244A3">
      <w:pPr>
        <w:jc w:val="both"/>
        <w:outlineLvl w:val="3"/>
        <w:rPr>
          <w:rFonts w:ascii="Arial" w:hAnsi="Arial" w:cs="Arial"/>
          <w:sz w:val="18"/>
          <w:szCs w:val="18"/>
          <w:lang w:val="en-GB" w:eastAsia="en-US"/>
        </w:rPr>
      </w:pPr>
    </w:p>
    <w:p w14:paraId="6631C5CF" w14:textId="77777777" w:rsidR="00721D78" w:rsidRPr="00B41E3B" w:rsidRDefault="00721D78" w:rsidP="004244A3">
      <w:pPr>
        <w:jc w:val="both"/>
        <w:outlineLvl w:val="3"/>
        <w:rPr>
          <w:rFonts w:ascii="Arial" w:hAnsi="Arial" w:cs="Arial"/>
          <w:sz w:val="18"/>
          <w:szCs w:val="18"/>
          <w:lang w:val="en-GB" w:eastAsia="en-US"/>
        </w:rPr>
      </w:pPr>
    </w:p>
    <w:p w14:paraId="383C1D7C"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Soils Initial Information</w:t>
      </w:r>
      <w:bookmarkEnd w:id="24"/>
      <w:bookmarkEnd w:id="25"/>
    </w:p>
    <w:p w14:paraId="7543DF75"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p w14:paraId="47E07B4C" w14:textId="6AB10971" w:rsidR="004244A3" w:rsidRPr="00E402CA" w:rsidRDefault="004244A3" w:rsidP="004244A3">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In the region of Baltic Sea, where the Project is located, the seabed is expected to consist of sand and clay</w:t>
      </w:r>
      <w:r>
        <w:rPr>
          <w:rFonts w:ascii="Arial" w:hAnsi="Arial" w:cs="Arial"/>
          <w:sz w:val="18"/>
          <w:szCs w:val="18"/>
          <w:lang w:val="en-GB" w:eastAsia="en-US"/>
        </w:rPr>
        <w:t xml:space="preserve"> so use of </w:t>
      </w:r>
      <w:proofErr w:type="spellStart"/>
      <w:r>
        <w:rPr>
          <w:rFonts w:ascii="Arial" w:hAnsi="Arial" w:cs="Arial"/>
          <w:sz w:val="18"/>
          <w:szCs w:val="18"/>
          <w:lang w:val="en-GB" w:eastAsia="en-US"/>
        </w:rPr>
        <w:t>monopiles</w:t>
      </w:r>
      <w:proofErr w:type="spellEnd"/>
      <w:r>
        <w:rPr>
          <w:rFonts w:ascii="Arial" w:hAnsi="Arial" w:cs="Arial"/>
          <w:sz w:val="18"/>
          <w:szCs w:val="18"/>
          <w:lang w:val="en-GB" w:eastAsia="en-US"/>
        </w:rPr>
        <w:t xml:space="preserve"> are preferred option, however use of jackets is also possible as foundations for turbines. </w:t>
      </w:r>
      <w:r w:rsidRPr="00E402CA">
        <w:rPr>
          <w:rFonts w:ascii="Arial" w:hAnsi="Arial" w:cs="Arial"/>
          <w:sz w:val="18"/>
          <w:szCs w:val="18"/>
          <w:lang w:val="en-GB" w:eastAsia="en-US"/>
        </w:rPr>
        <w:t xml:space="preserve">However, in this region of the Baltic Sea, high local variability in ground conditions is also expected, therefore the Project will conduct a variety of surveys (among others: geophysical survey, seismic survey, initial and main geotechnical survey including CPTs and boreholes sampling, UXO surveys, boulder survey etc.) in order to better understand ground conditions and jacking restrictions at specific turbines’ locations. </w:t>
      </w:r>
    </w:p>
    <w:p w14:paraId="09E6ECC0" w14:textId="77777777" w:rsidR="004244A3" w:rsidRPr="00E402CA" w:rsidRDefault="004244A3" w:rsidP="004244A3">
      <w:pPr>
        <w:pStyle w:val="Akapitzlist"/>
        <w:spacing w:after="0"/>
        <w:ind w:left="1077"/>
        <w:jc w:val="both"/>
        <w:outlineLvl w:val="3"/>
        <w:rPr>
          <w:rFonts w:ascii="Arial" w:hAnsi="Arial" w:cs="Arial"/>
          <w:b/>
          <w:sz w:val="20"/>
          <w:szCs w:val="20"/>
          <w:lang w:val="en-GB"/>
        </w:rPr>
      </w:pPr>
    </w:p>
    <w:p w14:paraId="7B1548EE" w14:textId="77777777" w:rsidR="004244A3" w:rsidRPr="004244A3" w:rsidRDefault="004244A3" w:rsidP="004244A3">
      <w:pPr>
        <w:pStyle w:val="Akapitzlist"/>
        <w:numPr>
          <w:ilvl w:val="0"/>
          <w:numId w:val="7"/>
        </w:numPr>
        <w:jc w:val="both"/>
        <w:outlineLvl w:val="3"/>
        <w:rPr>
          <w:rFonts w:ascii="Arial" w:hAnsi="Arial" w:cs="Arial"/>
          <w:b/>
          <w:lang w:val="en-GB"/>
        </w:rPr>
      </w:pPr>
      <w:r w:rsidRPr="004244A3">
        <w:rPr>
          <w:rFonts w:ascii="Arial" w:hAnsi="Arial" w:cs="Arial"/>
          <w:b/>
          <w:lang w:val="en-GB"/>
        </w:rPr>
        <w:t>Depth</w:t>
      </w:r>
    </w:p>
    <w:p w14:paraId="6A25D202" w14:textId="52A4B654" w:rsidR="00973E4F" w:rsidRDefault="004244A3" w:rsidP="00973E4F">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Mean Depth at Baltic East Project area, provided by preliminary soundings is 35,17 m. Project area exhibits moderately variable bathymetry, water depths typically ranging between 26 m and 43 m, with seabed gently sloping northerly. Depth classes have been mapped across the site and presented on quantile distribution. Project will conduct a variety of surveys in order to better understand ground conditions at specific turbine locations.</w:t>
      </w:r>
    </w:p>
    <w:p w14:paraId="13F3976D" w14:textId="0304DB16" w:rsidR="00973E4F" w:rsidRDefault="00973E4F" w:rsidP="00973E4F">
      <w:pPr>
        <w:spacing w:line="276" w:lineRule="auto"/>
        <w:jc w:val="both"/>
        <w:rPr>
          <w:rFonts w:ascii="Arial" w:hAnsi="Arial" w:cs="Arial"/>
          <w:sz w:val="18"/>
          <w:szCs w:val="18"/>
          <w:lang w:val="en-GB" w:eastAsia="en-US"/>
        </w:rPr>
      </w:pPr>
    </w:p>
    <w:p w14:paraId="6C558E17" w14:textId="77777777" w:rsidR="00973E4F" w:rsidRDefault="00973E4F" w:rsidP="00973E4F">
      <w:pPr>
        <w:spacing w:line="276" w:lineRule="auto"/>
        <w:jc w:val="both"/>
        <w:rPr>
          <w:rFonts w:ascii="Arial" w:hAnsi="Arial" w:cs="Arial"/>
          <w:sz w:val="18"/>
          <w:szCs w:val="18"/>
          <w:lang w:val="en-GB" w:eastAsia="en-US"/>
        </w:rPr>
      </w:pPr>
    </w:p>
    <w:p w14:paraId="4963DB02" w14:textId="783D7E5E" w:rsidR="004244A3" w:rsidRPr="00E402CA" w:rsidRDefault="004244A3" w:rsidP="00973E4F">
      <w:pPr>
        <w:spacing w:line="276" w:lineRule="auto"/>
        <w:jc w:val="both"/>
        <w:rPr>
          <w:rFonts w:ascii="Arial" w:hAnsi="Arial" w:cs="Arial"/>
          <w:sz w:val="18"/>
          <w:szCs w:val="18"/>
          <w:lang w:val="en-GB" w:eastAsia="en-US"/>
        </w:rPr>
      </w:pPr>
      <w:r w:rsidRPr="00E402CA">
        <w:rPr>
          <w:rFonts w:ascii="Arial" w:hAnsi="Arial" w:cs="Arial"/>
          <w:noProof/>
          <w:sz w:val="18"/>
          <w:szCs w:val="18"/>
        </w:rPr>
        <w:drawing>
          <wp:inline distT="0" distB="0" distL="0" distR="0" wp14:anchorId="37126A15" wp14:editId="2AB9541C">
            <wp:extent cx="5105222" cy="2803905"/>
            <wp:effectExtent l="0" t="0" r="635" b="0"/>
            <wp:docPr id="426506221" name="Obraz 3" descr="Obraz zawierający koperta, stacjonarny, Prostokąt, zrzut ekran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06221" name="Obraz 3" descr="Obraz zawierający koperta, stacjonarny, Prostokąt, zrzut ekranu&#10;&#10;Zawartość wygenerowana przez sztuczną inteligencję może być niepoprawn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3564" cy="2819471"/>
                    </a:xfrm>
                    <a:prstGeom prst="rect">
                      <a:avLst/>
                    </a:prstGeom>
                    <a:noFill/>
                    <a:ln>
                      <a:noFill/>
                    </a:ln>
                  </pic:spPr>
                </pic:pic>
              </a:graphicData>
            </a:graphic>
          </wp:inline>
        </w:drawing>
      </w:r>
    </w:p>
    <w:p w14:paraId="16D5A4DC" w14:textId="51AA74B9" w:rsidR="004244A3" w:rsidRPr="000F56C8" w:rsidRDefault="00BF4098" w:rsidP="004244A3">
      <w:pPr>
        <w:pStyle w:val="Legenda"/>
        <w:spacing w:before="0" w:after="0" w:line="276" w:lineRule="auto"/>
      </w:pPr>
      <w:r>
        <w:t xml:space="preserve">Figure </w:t>
      </w:r>
      <w:r w:rsidR="004F2F98">
        <w:t>4.</w:t>
      </w:r>
      <w:r w:rsidR="004244A3" w:rsidRPr="000F56C8">
        <w:t xml:space="preserve"> </w:t>
      </w:r>
      <w:r w:rsidR="004244A3">
        <w:t xml:space="preserve">Baltic East </w:t>
      </w:r>
      <w:r w:rsidR="004244A3" w:rsidRPr="00567478">
        <w:t>Mean depth quantile distribution</w:t>
      </w:r>
    </w:p>
    <w:p w14:paraId="1D224A31" w14:textId="29EFCC6A" w:rsidR="004244A3" w:rsidRDefault="004244A3" w:rsidP="004244A3">
      <w:pPr>
        <w:spacing w:after="160" w:line="259" w:lineRule="auto"/>
        <w:rPr>
          <w:rFonts w:ascii="Arial" w:hAnsi="Arial" w:cs="Arial"/>
          <w:b/>
          <w:bCs/>
          <w:lang w:val="en-GB" w:eastAsia="en-US"/>
        </w:rPr>
      </w:pPr>
      <w:bookmarkStart w:id="26" w:name="_Hlk200655271"/>
    </w:p>
    <w:p w14:paraId="6F81C709" w14:textId="60BD9DE0" w:rsidR="00973E4F" w:rsidRDefault="00973E4F" w:rsidP="004244A3">
      <w:pPr>
        <w:spacing w:after="160" w:line="259" w:lineRule="auto"/>
        <w:rPr>
          <w:rFonts w:ascii="Arial" w:hAnsi="Arial" w:cs="Arial"/>
          <w:b/>
          <w:bCs/>
          <w:lang w:val="en-GB" w:eastAsia="en-US"/>
        </w:rPr>
      </w:pPr>
    </w:p>
    <w:p w14:paraId="24C2A910" w14:textId="77777777" w:rsidR="00973E4F" w:rsidRPr="00567478" w:rsidRDefault="00973E4F" w:rsidP="004244A3">
      <w:pPr>
        <w:spacing w:after="160" w:line="259" w:lineRule="auto"/>
        <w:rPr>
          <w:rFonts w:ascii="Arial" w:hAnsi="Arial" w:cs="Arial"/>
          <w:b/>
          <w:bCs/>
          <w:lang w:val="en-GB" w:eastAsia="en-US"/>
        </w:rPr>
      </w:pPr>
    </w:p>
    <w:tbl>
      <w:tblPr>
        <w:tblStyle w:val="Tabela-Siatka"/>
        <w:tblW w:w="8869" w:type="dxa"/>
        <w:jc w:val="center"/>
        <w:tblLook w:val="04A0" w:firstRow="1" w:lastRow="0" w:firstColumn="1" w:lastColumn="0" w:noHBand="0" w:noVBand="1"/>
      </w:tblPr>
      <w:tblGrid>
        <w:gridCol w:w="1571"/>
        <w:gridCol w:w="1672"/>
        <w:gridCol w:w="1672"/>
        <w:gridCol w:w="1396"/>
        <w:gridCol w:w="1294"/>
        <w:gridCol w:w="1264"/>
      </w:tblGrid>
      <w:tr w:rsidR="004244A3" w:rsidRPr="004F2F98" w14:paraId="11211FB4" w14:textId="77777777" w:rsidTr="003718E1">
        <w:trPr>
          <w:trHeight w:val="290"/>
          <w:jc w:val="center"/>
        </w:trPr>
        <w:tc>
          <w:tcPr>
            <w:tcW w:w="1571" w:type="dxa"/>
            <w:noWrap/>
            <w:vAlign w:val="center"/>
            <w:hideMark/>
          </w:tcPr>
          <w:bookmarkEnd w:id="26"/>
          <w:p w14:paraId="4784EB1A"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Site No.</w:t>
            </w:r>
          </w:p>
        </w:tc>
        <w:tc>
          <w:tcPr>
            <w:tcW w:w="1672" w:type="dxa"/>
            <w:noWrap/>
            <w:vAlign w:val="center"/>
            <w:hideMark/>
          </w:tcPr>
          <w:p w14:paraId="513C3237"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Percentage of area</w:t>
            </w:r>
          </w:p>
        </w:tc>
        <w:tc>
          <w:tcPr>
            <w:tcW w:w="1672" w:type="dxa"/>
            <w:noWrap/>
            <w:vAlign w:val="center"/>
            <w:hideMark/>
          </w:tcPr>
          <w:p w14:paraId="0D5F45CB"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Area km2</w:t>
            </w:r>
          </w:p>
        </w:tc>
        <w:tc>
          <w:tcPr>
            <w:tcW w:w="1396" w:type="dxa"/>
            <w:noWrap/>
            <w:vAlign w:val="center"/>
            <w:hideMark/>
          </w:tcPr>
          <w:p w14:paraId="1B05401C"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Depth mean (m)</w:t>
            </w:r>
          </w:p>
        </w:tc>
        <w:tc>
          <w:tcPr>
            <w:tcW w:w="1294" w:type="dxa"/>
            <w:noWrap/>
            <w:vAlign w:val="center"/>
            <w:hideMark/>
          </w:tcPr>
          <w:p w14:paraId="337930F6"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Depth max (m)</w:t>
            </w:r>
          </w:p>
        </w:tc>
        <w:tc>
          <w:tcPr>
            <w:tcW w:w="1264" w:type="dxa"/>
            <w:noWrap/>
            <w:vAlign w:val="center"/>
            <w:hideMark/>
          </w:tcPr>
          <w:p w14:paraId="4B582F73" w14:textId="77777777" w:rsidR="004244A3" w:rsidRPr="004F2F98" w:rsidRDefault="004244A3" w:rsidP="003718E1">
            <w:pPr>
              <w:spacing w:line="276" w:lineRule="auto"/>
              <w:jc w:val="center"/>
              <w:rPr>
                <w:rFonts w:ascii="Arial" w:hAnsi="Arial" w:cs="Arial"/>
                <w:b/>
                <w:bCs/>
                <w:sz w:val="18"/>
                <w:szCs w:val="18"/>
                <w:lang w:val="en-US" w:eastAsia="en-US"/>
              </w:rPr>
            </w:pPr>
            <w:r w:rsidRPr="004F2F98">
              <w:rPr>
                <w:rFonts w:ascii="Arial" w:hAnsi="Arial" w:cs="Arial"/>
                <w:b/>
                <w:bCs/>
                <w:sz w:val="18"/>
                <w:szCs w:val="18"/>
                <w:lang w:val="en-US" w:eastAsia="en-US"/>
              </w:rPr>
              <w:t>Depth min (m)</w:t>
            </w:r>
          </w:p>
        </w:tc>
      </w:tr>
      <w:tr w:rsidR="004244A3" w:rsidRPr="00E402CA" w14:paraId="35E7E285" w14:textId="77777777" w:rsidTr="003718E1">
        <w:trPr>
          <w:trHeight w:val="290"/>
          <w:jc w:val="center"/>
        </w:trPr>
        <w:tc>
          <w:tcPr>
            <w:tcW w:w="1571" w:type="dxa"/>
            <w:noWrap/>
            <w:vAlign w:val="center"/>
            <w:hideMark/>
          </w:tcPr>
          <w:p w14:paraId="3EC9F676" w14:textId="77777777" w:rsidR="004244A3" w:rsidRPr="004F2F98" w:rsidRDefault="004244A3" w:rsidP="003718E1">
            <w:pPr>
              <w:spacing w:line="276" w:lineRule="auto"/>
              <w:jc w:val="center"/>
              <w:rPr>
                <w:rFonts w:ascii="Arial" w:hAnsi="Arial" w:cs="Arial"/>
                <w:sz w:val="18"/>
                <w:szCs w:val="18"/>
                <w:lang w:val="en-US" w:eastAsia="en-US"/>
              </w:rPr>
            </w:pPr>
            <w:r w:rsidRPr="004F2F98">
              <w:rPr>
                <w:rFonts w:ascii="Arial" w:hAnsi="Arial" w:cs="Arial"/>
                <w:sz w:val="18"/>
                <w:szCs w:val="18"/>
                <w:lang w:val="en-US" w:eastAsia="en-US"/>
              </w:rPr>
              <w:t>Baltic East (46.E.1) 1</w:t>
            </w:r>
          </w:p>
        </w:tc>
        <w:tc>
          <w:tcPr>
            <w:tcW w:w="1672" w:type="dxa"/>
            <w:noWrap/>
            <w:vAlign w:val="center"/>
            <w:hideMark/>
          </w:tcPr>
          <w:p w14:paraId="6500DDF0" w14:textId="77777777" w:rsidR="004244A3" w:rsidRPr="004F2F98" w:rsidRDefault="004244A3" w:rsidP="003718E1">
            <w:pPr>
              <w:spacing w:line="276" w:lineRule="auto"/>
              <w:jc w:val="center"/>
              <w:rPr>
                <w:rFonts w:ascii="Arial" w:hAnsi="Arial" w:cs="Arial"/>
                <w:sz w:val="18"/>
                <w:szCs w:val="18"/>
                <w:lang w:val="en-US" w:eastAsia="en-US"/>
              </w:rPr>
            </w:pPr>
            <w:r w:rsidRPr="004F2F98">
              <w:rPr>
                <w:rFonts w:ascii="Arial" w:hAnsi="Arial" w:cs="Arial"/>
                <w:sz w:val="18"/>
                <w:szCs w:val="18"/>
                <w:lang w:val="en-US" w:eastAsia="en-US"/>
              </w:rPr>
              <w:t>25%</w:t>
            </w:r>
          </w:p>
        </w:tc>
        <w:tc>
          <w:tcPr>
            <w:tcW w:w="1672" w:type="dxa"/>
            <w:noWrap/>
            <w:vAlign w:val="center"/>
            <w:hideMark/>
          </w:tcPr>
          <w:p w14:paraId="6D4F2E8E" w14:textId="77777777" w:rsidR="004244A3" w:rsidRPr="004F2F98" w:rsidRDefault="004244A3" w:rsidP="003718E1">
            <w:pPr>
              <w:spacing w:line="276" w:lineRule="auto"/>
              <w:jc w:val="center"/>
              <w:rPr>
                <w:rFonts w:ascii="Arial" w:hAnsi="Arial" w:cs="Arial"/>
                <w:sz w:val="18"/>
                <w:szCs w:val="18"/>
                <w:lang w:val="en-US" w:eastAsia="en-US"/>
              </w:rPr>
            </w:pPr>
            <w:r w:rsidRPr="004F2F98">
              <w:rPr>
                <w:rFonts w:ascii="Arial" w:hAnsi="Arial" w:cs="Arial"/>
                <w:sz w:val="18"/>
                <w:szCs w:val="18"/>
                <w:lang w:val="en-US" w:eastAsia="en-US"/>
              </w:rPr>
              <w:t>27,95</w:t>
            </w:r>
          </w:p>
        </w:tc>
        <w:tc>
          <w:tcPr>
            <w:tcW w:w="1396" w:type="dxa"/>
            <w:noWrap/>
            <w:vAlign w:val="center"/>
            <w:hideMark/>
          </w:tcPr>
          <w:p w14:paraId="11B9ECC8" w14:textId="77777777" w:rsidR="004244A3" w:rsidRPr="004F2F98" w:rsidRDefault="004244A3" w:rsidP="003718E1">
            <w:pPr>
              <w:spacing w:line="276" w:lineRule="auto"/>
              <w:jc w:val="center"/>
              <w:rPr>
                <w:rFonts w:ascii="Arial" w:hAnsi="Arial" w:cs="Arial"/>
                <w:sz w:val="18"/>
                <w:szCs w:val="18"/>
                <w:lang w:val="en-US" w:eastAsia="en-US"/>
              </w:rPr>
            </w:pPr>
            <w:r w:rsidRPr="004F2F98">
              <w:rPr>
                <w:rFonts w:ascii="Arial" w:hAnsi="Arial" w:cs="Arial"/>
                <w:sz w:val="18"/>
                <w:szCs w:val="18"/>
                <w:lang w:val="en-US" w:eastAsia="en-US"/>
              </w:rPr>
              <w:t>-32,43</w:t>
            </w:r>
          </w:p>
        </w:tc>
        <w:tc>
          <w:tcPr>
            <w:tcW w:w="1294" w:type="dxa"/>
            <w:noWrap/>
            <w:vAlign w:val="center"/>
            <w:hideMark/>
          </w:tcPr>
          <w:p w14:paraId="24BD7D6A" w14:textId="77777777" w:rsidR="004244A3" w:rsidRPr="00E402CA" w:rsidRDefault="004244A3" w:rsidP="003718E1">
            <w:pPr>
              <w:spacing w:line="276" w:lineRule="auto"/>
              <w:jc w:val="center"/>
              <w:rPr>
                <w:rFonts w:ascii="Arial" w:hAnsi="Arial" w:cs="Arial"/>
                <w:sz w:val="18"/>
                <w:szCs w:val="18"/>
                <w:lang w:eastAsia="en-US"/>
              </w:rPr>
            </w:pPr>
            <w:r w:rsidRPr="004F2F98">
              <w:rPr>
                <w:rFonts w:ascii="Arial" w:hAnsi="Arial" w:cs="Arial"/>
                <w:sz w:val="18"/>
                <w:szCs w:val="18"/>
                <w:lang w:val="en-US" w:eastAsia="en-US"/>
              </w:rPr>
              <w:t>-3</w:t>
            </w:r>
            <w:r w:rsidRPr="00E402CA">
              <w:rPr>
                <w:rFonts w:ascii="Arial" w:hAnsi="Arial" w:cs="Arial"/>
                <w:sz w:val="18"/>
                <w:szCs w:val="18"/>
                <w:lang w:eastAsia="en-US"/>
              </w:rPr>
              <w:t>7,93</w:t>
            </w:r>
          </w:p>
        </w:tc>
        <w:tc>
          <w:tcPr>
            <w:tcW w:w="1264" w:type="dxa"/>
            <w:noWrap/>
            <w:vAlign w:val="center"/>
            <w:hideMark/>
          </w:tcPr>
          <w:p w14:paraId="14810D4C"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-26,10</w:t>
            </w:r>
          </w:p>
        </w:tc>
      </w:tr>
      <w:tr w:rsidR="004244A3" w:rsidRPr="00E402CA" w14:paraId="07D3D4B4" w14:textId="77777777" w:rsidTr="003718E1">
        <w:trPr>
          <w:trHeight w:val="290"/>
          <w:jc w:val="center"/>
        </w:trPr>
        <w:tc>
          <w:tcPr>
            <w:tcW w:w="1571" w:type="dxa"/>
            <w:noWrap/>
            <w:vAlign w:val="center"/>
            <w:hideMark/>
          </w:tcPr>
          <w:p w14:paraId="1BE9CDDA" w14:textId="77777777" w:rsidR="004244A3" w:rsidRPr="00E402CA" w:rsidRDefault="004244A3" w:rsidP="003718E1">
            <w:pPr>
              <w:spacing w:line="276" w:lineRule="auto"/>
              <w:jc w:val="center"/>
              <w:rPr>
                <w:rFonts w:ascii="Arial" w:hAnsi="Arial" w:cs="Arial"/>
                <w:sz w:val="18"/>
                <w:szCs w:val="18"/>
                <w:lang w:eastAsia="en-US"/>
              </w:rPr>
            </w:pPr>
            <w:proofErr w:type="spellStart"/>
            <w:r w:rsidRPr="00E402CA">
              <w:rPr>
                <w:rFonts w:ascii="Arial" w:hAnsi="Arial" w:cs="Arial"/>
                <w:sz w:val="18"/>
                <w:szCs w:val="18"/>
                <w:lang w:eastAsia="en-US"/>
              </w:rPr>
              <w:t>Baltic</w:t>
            </w:r>
            <w:proofErr w:type="spellEnd"/>
            <w:r w:rsidRPr="00E402CA">
              <w:rPr>
                <w:rFonts w:ascii="Arial" w:hAnsi="Arial" w:cs="Arial"/>
                <w:sz w:val="18"/>
                <w:szCs w:val="18"/>
                <w:lang w:eastAsia="en-US"/>
              </w:rPr>
              <w:t xml:space="preserve"> East (46.E.1) 2</w:t>
            </w:r>
          </w:p>
        </w:tc>
        <w:tc>
          <w:tcPr>
            <w:tcW w:w="1672" w:type="dxa"/>
            <w:noWrap/>
            <w:vAlign w:val="center"/>
            <w:hideMark/>
          </w:tcPr>
          <w:p w14:paraId="738AED3F"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25%</w:t>
            </w:r>
          </w:p>
        </w:tc>
        <w:tc>
          <w:tcPr>
            <w:tcW w:w="1672" w:type="dxa"/>
            <w:noWrap/>
            <w:vAlign w:val="center"/>
            <w:hideMark/>
          </w:tcPr>
          <w:p w14:paraId="33BC8DE9"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27,95</w:t>
            </w:r>
          </w:p>
        </w:tc>
        <w:tc>
          <w:tcPr>
            <w:tcW w:w="1396" w:type="dxa"/>
            <w:noWrap/>
            <w:vAlign w:val="center"/>
            <w:hideMark/>
          </w:tcPr>
          <w:p w14:paraId="639CFF94"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-33,23</w:t>
            </w:r>
          </w:p>
        </w:tc>
        <w:tc>
          <w:tcPr>
            <w:tcW w:w="1294" w:type="dxa"/>
            <w:noWrap/>
            <w:vAlign w:val="center"/>
            <w:hideMark/>
          </w:tcPr>
          <w:p w14:paraId="1905CC1A"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-40,35</w:t>
            </w:r>
          </w:p>
        </w:tc>
        <w:tc>
          <w:tcPr>
            <w:tcW w:w="1264" w:type="dxa"/>
            <w:noWrap/>
            <w:vAlign w:val="center"/>
            <w:hideMark/>
          </w:tcPr>
          <w:p w14:paraId="0E73B42D"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-26,81</w:t>
            </w:r>
          </w:p>
        </w:tc>
      </w:tr>
      <w:tr w:rsidR="004244A3" w:rsidRPr="00E402CA" w14:paraId="2BE1B2DF" w14:textId="77777777" w:rsidTr="003718E1">
        <w:trPr>
          <w:trHeight w:val="290"/>
          <w:jc w:val="center"/>
        </w:trPr>
        <w:tc>
          <w:tcPr>
            <w:tcW w:w="1571" w:type="dxa"/>
            <w:noWrap/>
            <w:vAlign w:val="center"/>
            <w:hideMark/>
          </w:tcPr>
          <w:p w14:paraId="6493B343" w14:textId="77777777" w:rsidR="004244A3" w:rsidRPr="00E402CA" w:rsidRDefault="004244A3" w:rsidP="003718E1">
            <w:pPr>
              <w:spacing w:line="276" w:lineRule="auto"/>
              <w:jc w:val="center"/>
              <w:rPr>
                <w:rFonts w:ascii="Arial" w:hAnsi="Arial" w:cs="Arial"/>
                <w:sz w:val="18"/>
                <w:szCs w:val="18"/>
                <w:lang w:eastAsia="en-US"/>
              </w:rPr>
            </w:pPr>
            <w:proofErr w:type="spellStart"/>
            <w:r w:rsidRPr="00E402CA">
              <w:rPr>
                <w:rFonts w:ascii="Arial" w:hAnsi="Arial" w:cs="Arial"/>
                <w:sz w:val="18"/>
                <w:szCs w:val="18"/>
                <w:lang w:eastAsia="en-US"/>
              </w:rPr>
              <w:t>Baltic</w:t>
            </w:r>
            <w:proofErr w:type="spellEnd"/>
            <w:r w:rsidRPr="00E402CA">
              <w:rPr>
                <w:rFonts w:ascii="Arial" w:hAnsi="Arial" w:cs="Arial"/>
                <w:sz w:val="18"/>
                <w:szCs w:val="18"/>
                <w:lang w:eastAsia="en-US"/>
              </w:rPr>
              <w:t xml:space="preserve"> East (46.E.1) 3</w:t>
            </w:r>
          </w:p>
        </w:tc>
        <w:tc>
          <w:tcPr>
            <w:tcW w:w="1672" w:type="dxa"/>
            <w:noWrap/>
            <w:vAlign w:val="center"/>
            <w:hideMark/>
          </w:tcPr>
          <w:p w14:paraId="1151022F"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25%</w:t>
            </w:r>
          </w:p>
        </w:tc>
        <w:tc>
          <w:tcPr>
            <w:tcW w:w="1672" w:type="dxa"/>
            <w:noWrap/>
            <w:vAlign w:val="center"/>
            <w:hideMark/>
          </w:tcPr>
          <w:p w14:paraId="6BCD8DAD"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27,95</w:t>
            </w:r>
          </w:p>
        </w:tc>
        <w:tc>
          <w:tcPr>
            <w:tcW w:w="1396" w:type="dxa"/>
            <w:noWrap/>
            <w:vAlign w:val="center"/>
            <w:hideMark/>
          </w:tcPr>
          <w:p w14:paraId="47C1266D"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-36,80</w:t>
            </w:r>
          </w:p>
        </w:tc>
        <w:tc>
          <w:tcPr>
            <w:tcW w:w="1294" w:type="dxa"/>
            <w:noWrap/>
            <w:vAlign w:val="center"/>
            <w:hideMark/>
          </w:tcPr>
          <w:p w14:paraId="57EBF1BF"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-42,92</w:t>
            </w:r>
          </w:p>
        </w:tc>
        <w:tc>
          <w:tcPr>
            <w:tcW w:w="1264" w:type="dxa"/>
            <w:noWrap/>
            <w:vAlign w:val="center"/>
            <w:hideMark/>
          </w:tcPr>
          <w:p w14:paraId="11A6178A"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-26,95</w:t>
            </w:r>
          </w:p>
        </w:tc>
      </w:tr>
      <w:tr w:rsidR="004244A3" w:rsidRPr="00E402CA" w14:paraId="48B2FA33" w14:textId="77777777" w:rsidTr="003718E1">
        <w:trPr>
          <w:trHeight w:val="42"/>
          <w:jc w:val="center"/>
        </w:trPr>
        <w:tc>
          <w:tcPr>
            <w:tcW w:w="1571" w:type="dxa"/>
            <w:noWrap/>
            <w:vAlign w:val="center"/>
            <w:hideMark/>
          </w:tcPr>
          <w:p w14:paraId="0C97CF29" w14:textId="77777777" w:rsidR="004244A3" w:rsidRPr="00E402CA" w:rsidRDefault="004244A3" w:rsidP="003718E1">
            <w:pPr>
              <w:spacing w:line="276" w:lineRule="auto"/>
              <w:jc w:val="center"/>
              <w:rPr>
                <w:rFonts w:ascii="Arial" w:hAnsi="Arial" w:cs="Arial"/>
                <w:sz w:val="18"/>
                <w:szCs w:val="18"/>
                <w:lang w:eastAsia="en-US"/>
              </w:rPr>
            </w:pPr>
            <w:proofErr w:type="spellStart"/>
            <w:r w:rsidRPr="00E402CA">
              <w:rPr>
                <w:rFonts w:ascii="Arial" w:hAnsi="Arial" w:cs="Arial"/>
                <w:sz w:val="18"/>
                <w:szCs w:val="18"/>
                <w:lang w:eastAsia="en-US"/>
              </w:rPr>
              <w:t>Baltic</w:t>
            </w:r>
            <w:proofErr w:type="spellEnd"/>
            <w:r w:rsidRPr="00E402CA">
              <w:rPr>
                <w:rFonts w:ascii="Arial" w:hAnsi="Arial" w:cs="Arial"/>
                <w:sz w:val="18"/>
                <w:szCs w:val="18"/>
                <w:lang w:eastAsia="en-US"/>
              </w:rPr>
              <w:t xml:space="preserve"> East (46.E.1) 4</w:t>
            </w:r>
          </w:p>
        </w:tc>
        <w:tc>
          <w:tcPr>
            <w:tcW w:w="1672" w:type="dxa"/>
            <w:noWrap/>
            <w:vAlign w:val="center"/>
            <w:hideMark/>
          </w:tcPr>
          <w:p w14:paraId="36F30993"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25%</w:t>
            </w:r>
          </w:p>
        </w:tc>
        <w:tc>
          <w:tcPr>
            <w:tcW w:w="1672" w:type="dxa"/>
            <w:noWrap/>
            <w:vAlign w:val="center"/>
            <w:hideMark/>
          </w:tcPr>
          <w:p w14:paraId="24C3104A"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27,95</w:t>
            </w:r>
          </w:p>
        </w:tc>
        <w:tc>
          <w:tcPr>
            <w:tcW w:w="1396" w:type="dxa"/>
            <w:noWrap/>
            <w:vAlign w:val="center"/>
            <w:hideMark/>
          </w:tcPr>
          <w:p w14:paraId="6A54B016"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-38,23</w:t>
            </w:r>
          </w:p>
        </w:tc>
        <w:tc>
          <w:tcPr>
            <w:tcW w:w="1294" w:type="dxa"/>
            <w:noWrap/>
            <w:vAlign w:val="center"/>
            <w:hideMark/>
          </w:tcPr>
          <w:p w14:paraId="4DF42797"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-42,97</w:t>
            </w:r>
          </w:p>
        </w:tc>
        <w:tc>
          <w:tcPr>
            <w:tcW w:w="1264" w:type="dxa"/>
            <w:noWrap/>
            <w:vAlign w:val="center"/>
            <w:hideMark/>
          </w:tcPr>
          <w:p w14:paraId="2A9F9F67" w14:textId="77777777" w:rsidR="004244A3" w:rsidRPr="00E402CA" w:rsidRDefault="004244A3" w:rsidP="003718E1">
            <w:pPr>
              <w:spacing w:line="276" w:lineRule="auto"/>
              <w:jc w:val="center"/>
              <w:rPr>
                <w:rFonts w:ascii="Arial" w:hAnsi="Arial" w:cs="Arial"/>
                <w:sz w:val="18"/>
                <w:szCs w:val="18"/>
                <w:lang w:eastAsia="en-US"/>
              </w:rPr>
            </w:pPr>
            <w:r w:rsidRPr="00E402CA">
              <w:rPr>
                <w:rFonts w:ascii="Arial" w:hAnsi="Arial" w:cs="Arial"/>
                <w:sz w:val="18"/>
                <w:szCs w:val="18"/>
                <w:lang w:eastAsia="en-US"/>
              </w:rPr>
              <w:t>-33,59</w:t>
            </w:r>
          </w:p>
        </w:tc>
      </w:tr>
    </w:tbl>
    <w:p w14:paraId="719A1D16" w14:textId="77777777" w:rsidR="00973E4F" w:rsidRDefault="00973E4F" w:rsidP="004244A3">
      <w:pPr>
        <w:pStyle w:val="Legenda"/>
        <w:spacing w:before="0" w:after="0" w:line="276" w:lineRule="auto"/>
      </w:pPr>
    </w:p>
    <w:p w14:paraId="153550D2" w14:textId="7596F180" w:rsidR="004244A3" w:rsidRPr="000F56C8" w:rsidRDefault="004244A3" w:rsidP="004244A3">
      <w:pPr>
        <w:pStyle w:val="Legenda"/>
        <w:spacing w:before="0" w:after="0" w:line="276" w:lineRule="auto"/>
      </w:pPr>
      <w:r w:rsidRPr="004F2F98">
        <w:rPr>
          <w:lang w:val="en-US"/>
        </w:rPr>
        <w:t xml:space="preserve">Table </w:t>
      </w:r>
      <w:r w:rsidRPr="000F56C8">
        <w:fldChar w:fldCharType="begin"/>
      </w:r>
      <w:r w:rsidRPr="004F2F98">
        <w:rPr>
          <w:lang w:val="en-US"/>
        </w:rPr>
        <w:instrText xml:space="preserve"> STYLEREF 1 \s </w:instrText>
      </w:r>
      <w:r w:rsidRPr="000F56C8">
        <w:fldChar w:fldCharType="end"/>
      </w:r>
      <w:r w:rsidR="004F2F98">
        <w:t>1.</w:t>
      </w:r>
      <w:r w:rsidRPr="000F56C8">
        <w:t xml:space="preserve"> </w:t>
      </w:r>
      <w:r>
        <w:t xml:space="preserve">Baltic East </w:t>
      </w:r>
      <w:r w:rsidRPr="00567478">
        <w:t>Mean depth quantile distribution</w:t>
      </w:r>
    </w:p>
    <w:p w14:paraId="3ACE8806" w14:textId="1E7E889E" w:rsidR="004244A3" w:rsidRDefault="004244A3" w:rsidP="004244A3">
      <w:pPr>
        <w:pStyle w:val="Akapitzlist"/>
        <w:spacing w:after="0"/>
        <w:ind w:left="1077"/>
        <w:jc w:val="both"/>
        <w:outlineLvl w:val="3"/>
        <w:rPr>
          <w:rFonts w:ascii="Arial" w:hAnsi="Arial" w:cs="Arial"/>
          <w:b/>
          <w:sz w:val="20"/>
          <w:szCs w:val="20"/>
          <w:lang w:val="en-GB"/>
        </w:rPr>
      </w:pPr>
    </w:p>
    <w:p w14:paraId="774BD6E2" w14:textId="77777777" w:rsidR="00721D78" w:rsidRDefault="00721D78" w:rsidP="004244A3">
      <w:pPr>
        <w:pStyle w:val="Akapitzlist"/>
        <w:spacing w:after="0"/>
        <w:ind w:left="1077"/>
        <w:jc w:val="both"/>
        <w:outlineLvl w:val="3"/>
        <w:rPr>
          <w:rFonts w:ascii="Arial" w:hAnsi="Arial" w:cs="Arial"/>
          <w:b/>
          <w:sz w:val="20"/>
          <w:szCs w:val="20"/>
          <w:lang w:val="en-GB"/>
        </w:rPr>
      </w:pPr>
    </w:p>
    <w:p w14:paraId="5705F577" w14:textId="77777777" w:rsidR="004244A3" w:rsidRPr="00E402CA" w:rsidRDefault="004244A3" w:rsidP="004244A3">
      <w:pPr>
        <w:jc w:val="both"/>
        <w:outlineLvl w:val="3"/>
        <w:rPr>
          <w:rFonts w:ascii="Arial" w:hAnsi="Arial" w:cs="Arial"/>
          <w:sz w:val="18"/>
          <w:szCs w:val="18"/>
          <w:lang w:val="en-GB"/>
        </w:rPr>
      </w:pPr>
      <w:bookmarkStart w:id="27" w:name="_Hlk200459134"/>
    </w:p>
    <w:p w14:paraId="1AA6C25B" w14:textId="211C1F7E" w:rsidR="004244A3" w:rsidRPr="004244A3" w:rsidRDefault="00653987" w:rsidP="004244A3">
      <w:pPr>
        <w:pStyle w:val="Akapitzlist"/>
        <w:numPr>
          <w:ilvl w:val="0"/>
          <w:numId w:val="7"/>
        </w:numPr>
        <w:jc w:val="both"/>
        <w:outlineLvl w:val="3"/>
        <w:rPr>
          <w:rFonts w:ascii="Arial" w:hAnsi="Arial" w:cs="Arial"/>
          <w:b/>
          <w:lang w:val="en-GB"/>
        </w:rPr>
      </w:pPr>
      <w:r>
        <w:rPr>
          <w:rFonts w:ascii="Arial" w:hAnsi="Arial" w:cs="Arial"/>
          <w:b/>
          <w:lang w:val="en-GB"/>
        </w:rPr>
        <w:t>Suitability for Installation Activities</w:t>
      </w:r>
    </w:p>
    <w:p w14:paraId="0A7AD4A9" w14:textId="77777777" w:rsidR="004244A3" w:rsidRDefault="004244A3" w:rsidP="004244A3">
      <w:pPr>
        <w:pStyle w:val="Akapitzlist"/>
        <w:spacing w:after="0"/>
        <w:ind w:left="1077"/>
        <w:jc w:val="both"/>
        <w:outlineLvl w:val="3"/>
        <w:rPr>
          <w:rFonts w:ascii="Arial" w:hAnsi="Arial" w:cs="Arial"/>
          <w:sz w:val="18"/>
          <w:szCs w:val="18"/>
          <w:lang w:val="en-GB"/>
        </w:rPr>
      </w:pPr>
    </w:p>
    <w:bookmarkEnd w:id="27"/>
    <w:p w14:paraId="523915EC" w14:textId="77777777" w:rsidR="00653987" w:rsidRPr="00E402CA" w:rsidRDefault="00653987" w:rsidP="00653987">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Based on the current analysis following can be assumed:</w:t>
      </w:r>
    </w:p>
    <w:p w14:paraId="730AE0BD"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t>Water depths fall within operational thresholds for standard installation jack-up vessels.</w:t>
      </w:r>
    </w:p>
    <w:p w14:paraId="035CA2FB"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t>The seabed appears to provide stable positioning zones, but preliminary risk of leg punch-through or leg instability will be verified via CPT or borehole investigations.</w:t>
      </w:r>
    </w:p>
    <w:p w14:paraId="13E53574"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t>The seabed in the area appears suitable for installation activities involving jack-up vessels</w:t>
      </w:r>
      <w:r>
        <w:rPr>
          <w:rFonts w:ascii="Arial" w:hAnsi="Arial" w:cs="Arial"/>
          <w:sz w:val="18"/>
          <w:szCs w:val="18"/>
          <w:lang w:val="en-GB"/>
        </w:rPr>
        <w:t xml:space="preserve"> and </w:t>
      </w:r>
      <w:r w:rsidRPr="00E402CA">
        <w:rPr>
          <w:rFonts w:ascii="Arial" w:hAnsi="Arial" w:cs="Arial"/>
          <w:sz w:val="18"/>
          <w:szCs w:val="18"/>
          <w:lang w:val="en-GB"/>
        </w:rPr>
        <w:t>anchoring</w:t>
      </w:r>
      <w:r>
        <w:rPr>
          <w:rFonts w:ascii="Arial" w:hAnsi="Arial" w:cs="Arial"/>
          <w:sz w:val="18"/>
          <w:szCs w:val="18"/>
          <w:lang w:val="en-GB"/>
        </w:rPr>
        <w:t>.</w:t>
      </w:r>
      <w:r w:rsidRPr="00E402CA">
        <w:rPr>
          <w:rFonts w:ascii="Arial" w:hAnsi="Arial" w:cs="Arial"/>
          <w:sz w:val="18"/>
          <w:szCs w:val="18"/>
          <w:lang w:val="en-GB"/>
        </w:rPr>
        <w:t xml:space="preserve"> Further site-specific geotechnical assessments are carried out. The current depth analysis is a robust initial input for vessel selection, positioning strategy, and marine construction planning.</w:t>
      </w:r>
    </w:p>
    <w:p w14:paraId="5B405471" w14:textId="77777777" w:rsidR="00653987" w:rsidRDefault="00653987" w:rsidP="00653987">
      <w:pPr>
        <w:pStyle w:val="Akapitzlist"/>
        <w:jc w:val="both"/>
        <w:outlineLvl w:val="3"/>
        <w:rPr>
          <w:rFonts w:ascii="Arial" w:hAnsi="Arial" w:cs="Arial"/>
          <w:b/>
          <w:sz w:val="20"/>
          <w:szCs w:val="20"/>
          <w:lang w:val="en-GB"/>
        </w:rPr>
      </w:pPr>
    </w:p>
    <w:p w14:paraId="4C12379E" w14:textId="77777777" w:rsidR="004244A3" w:rsidRDefault="004244A3" w:rsidP="004244A3">
      <w:pPr>
        <w:pStyle w:val="Akapitzlist"/>
        <w:ind w:left="1080"/>
        <w:jc w:val="both"/>
        <w:outlineLvl w:val="3"/>
        <w:rPr>
          <w:rFonts w:ascii="Arial" w:hAnsi="Arial" w:cs="Arial"/>
          <w:b/>
          <w:sz w:val="20"/>
          <w:szCs w:val="20"/>
          <w:lang w:val="en-GB"/>
        </w:rPr>
      </w:pPr>
    </w:p>
    <w:p w14:paraId="1B1BFB03" w14:textId="77777777" w:rsidR="004244A3" w:rsidRPr="00E402CA" w:rsidRDefault="004244A3" w:rsidP="004244A3">
      <w:pPr>
        <w:pStyle w:val="Akapitzlist"/>
        <w:ind w:left="1080"/>
        <w:jc w:val="both"/>
        <w:outlineLvl w:val="3"/>
        <w:rPr>
          <w:rFonts w:ascii="Arial" w:hAnsi="Arial" w:cs="Arial"/>
          <w:b/>
          <w:sz w:val="20"/>
          <w:szCs w:val="20"/>
          <w:lang w:val="en-GB"/>
        </w:rPr>
      </w:pPr>
    </w:p>
    <w:p w14:paraId="1B79703E" w14:textId="308DC651" w:rsidR="004244A3" w:rsidRDefault="00653987" w:rsidP="004244A3">
      <w:pPr>
        <w:pStyle w:val="Akapitzlist"/>
        <w:numPr>
          <w:ilvl w:val="0"/>
          <w:numId w:val="7"/>
        </w:numPr>
        <w:jc w:val="both"/>
        <w:outlineLvl w:val="3"/>
        <w:rPr>
          <w:rFonts w:ascii="Arial" w:hAnsi="Arial" w:cs="Arial"/>
          <w:b/>
          <w:lang w:val="en-GB"/>
        </w:rPr>
      </w:pPr>
      <w:r>
        <w:rPr>
          <w:rFonts w:ascii="Arial" w:hAnsi="Arial" w:cs="Arial"/>
          <w:b/>
          <w:lang w:val="en-GB"/>
        </w:rPr>
        <w:t>WTG preliminary data</w:t>
      </w:r>
    </w:p>
    <w:p w14:paraId="49FDD623" w14:textId="77777777" w:rsidR="00653987" w:rsidRPr="004244A3" w:rsidRDefault="00653987" w:rsidP="00653987">
      <w:pPr>
        <w:pStyle w:val="Akapitzlist"/>
        <w:ind w:left="1146"/>
        <w:jc w:val="both"/>
        <w:outlineLvl w:val="3"/>
        <w:rPr>
          <w:rFonts w:ascii="Arial" w:hAnsi="Arial" w:cs="Arial"/>
          <w:b/>
          <w:lang w:val="en-GB"/>
        </w:rPr>
      </w:pPr>
    </w:p>
    <w:p w14:paraId="15085B06" w14:textId="77777777" w:rsidR="00653987" w:rsidRPr="00653987" w:rsidRDefault="00653987" w:rsidP="00653987">
      <w:pPr>
        <w:ind w:left="786"/>
        <w:jc w:val="both"/>
        <w:outlineLvl w:val="3"/>
        <w:rPr>
          <w:rFonts w:ascii="Arial" w:hAnsi="Arial" w:cs="Arial"/>
          <w:sz w:val="18"/>
          <w:szCs w:val="18"/>
          <w:lang w:val="en-GB"/>
        </w:rPr>
      </w:pPr>
      <w:r w:rsidRPr="00653987">
        <w:rPr>
          <w:rFonts w:ascii="Arial" w:hAnsi="Arial" w:cs="Arial"/>
          <w:sz w:val="18"/>
          <w:szCs w:val="18"/>
          <w:lang w:val="en-GB"/>
        </w:rPr>
        <w:t>Project technical assumptions considers WTG supply of well-established turbine models available on a market. Use of 15+ MW turbine is considered as a base case. Preliminary informative data given as below:</w:t>
      </w:r>
    </w:p>
    <w:p w14:paraId="7C98A5CE" w14:textId="77777777" w:rsidR="00653987" w:rsidRPr="00E402CA" w:rsidRDefault="00653987" w:rsidP="00653987">
      <w:pPr>
        <w:pStyle w:val="Akapitzlist"/>
        <w:spacing w:after="0"/>
        <w:ind w:left="1146"/>
        <w:jc w:val="both"/>
        <w:outlineLvl w:val="3"/>
        <w:rPr>
          <w:rFonts w:ascii="Arial" w:hAnsi="Arial" w:cs="Arial"/>
          <w:sz w:val="18"/>
          <w:szCs w:val="18"/>
          <w:lang w:val="en-GB"/>
        </w:rPr>
      </w:pPr>
    </w:p>
    <w:tbl>
      <w:tblPr>
        <w:tblStyle w:val="Tabela-Siatka"/>
        <w:tblW w:w="0" w:type="auto"/>
        <w:jc w:val="center"/>
        <w:tblLook w:val="04A0" w:firstRow="1" w:lastRow="0" w:firstColumn="1" w:lastColumn="0" w:noHBand="0" w:noVBand="1"/>
      </w:tblPr>
      <w:tblGrid>
        <w:gridCol w:w="3728"/>
        <w:gridCol w:w="3728"/>
      </w:tblGrid>
      <w:tr w:rsidR="00653987" w:rsidRPr="00E402CA" w14:paraId="6E0FDF2C" w14:textId="77777777" w:rsidTr="00D50961">
        <w:trPr>
          <w:trHeight w:val="286"/>
          <w:jc w:val="center"/>
        </w:trPr>
        <w:tc>
          <w:tcPr>
            <w:tcW w:w="3728" w:type="dxa"/>
            <w:shd w:val="clear" w:color="auto" w:fill="auto"/>
            <w:vAlign w:val="center"/>
          </w:tcPr>
          <w:p w14:paraId="071DCB9F"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Component</w:t>
            </w:r>
          </w:p>
        </w:tc>
        <w:tc>
          <w:tcPr>
            <w:tcW w:w="3728" w:type="dxa"/>
            <w:shd w:val="clear" w:color="auto" w:fill="auto"/>
            <w:vAlign w:val="center"/>
          </w:tcPr>
          <w:p w14:paraId="1D1948F0"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rPr>
              <w:t>Value</w:t>
            </w:r>
          </w:p>
        </w:tc>
      </w:tr>
      <w:tr w:rsidR="00653987" w:rsidRPr="00E402CA" w14:paraId="19FA5ABB" w14:textId="77777777" w:rsidTr="00D50961">
        <w:trPr>
          <w:trHeight w:val="298"/>
          <w:jc w:val="center"/>
        </w:trPr>
        <w:tc>
          <w:tcPr>
            <w:tcW w:w="3728" w:type="dxa"/>
            <w:shd w:val="clear" w:color="auto" w:fill="auto"/>
            <w:vAlign w:val="center"/>
          </w:tcPr>
          <w:p w14:paraId="71F19FD4"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 xml:space="preserve">Hub </w:t>
            </w:r>
            <w:proofErr w:type="spellStart"/>
            <w:r w:rsidRPr="00E402CA">
              <w:rPr>
                <w:rFonts w:ascii="Arial" w:hAnsi="Arial" w:cs="Arial"/>
                <w:sz w:val="18"/>
                <w:szCs w:val="18"/>
              </w:rPr>
              <w:t>Height</w:t>
            </w:r>
            <w:proofErr w:type="spellEnd"/>
            <w:r w:rsidRPr="00E402CA">
              <w:rPr>
                <w:rFonts w:ascii="Arial" w:hAnsi="Arial" w:cs="Arial"/>
                <w:sz w:val="18"/>
                <w:szCs w:val="18"/>
              </w:rPr>
              <w:t xml:space="preserve"> (Tower </w:t>
            </w:r>
            <w:proofErr w:type="spellStart"/>
            <w:r w:rsidRPr="00E402CA">
              <w:rPr>
                <w:rFonts w:ascii="Arial" w:hAnsi="Arial" w:cs="Arial"/>
                <w:sz w:val="18"/>
                <w:szCs w:val="18"/>
              </w:rPr>
              <w:t>Height</w:t>
            </w:r>
            <w:proofErr w:type="spellEnd"/>
            <w:r w:rsidRPr="00E402CA">
              <w:rPr>
                <w:rFonts w:ascii="Arial" w:hAnsi="Arial" w:cs="Arial"/>
                <w:sz w:val="18"/>
                <w:szCs w:val="18"/>
              </w:rPr>
              <w:t>)</w:t>
            </w:r>
          </w:p>
        </w:tc>
        <w:tc>
          <w:tcPr>
            <w:tcW w:w="3728" w:type="dxa"/>
            <w:shd w:val="clear" w:color="auto" w:fill="auto"/>
            <w:vAlign w:val="center"/>
          </w:tcPr>
          <w:p w14:paraId="5D8D8A2A" w14:textId="77777777" w:rsidR="00653987" w:rsidRPr="00E402CA" w:rsidRDefault="00653987" w:rsidP="00D50961">
            <w:pPr>
              <w:jc w:val="center"/>
              <w:rPr>
                <w:rFonts w:ascii="Arial" w:hAnsi="Arial" w:cs="Arial"/>
                <w:sz w:val="18"/>
                <w:szCs w:val="18"/>
                <w:lang w:val="en-GB"/>
              </w:rPr>
            </w:pPr>
            <w:r>
              <w:rPr>
                <w:rFonts w:ascii="Arial" w:hAnsi="Arial" w:cs="Arial"/>
                <w:sz w:val="18"/>
                <w:szCs w:val="18"/>
              </w:rPr>
              <w:t>~</w:t>
            </w:r>
            <w:r w:rsidRPr="00E402CA">
              <w:rPr>
                <w:rFonts w:ascii="Arial" w:hAnsi="Arial" w:cs="Arial"/>
                <w:sz w:val="18"/>
                <w:szCs w:val="18"/>
              </w:rPr>
              <w:t>150–165 metres</w:t>
            </w:r>
          </w:p>
        </w:tc>
      </w:tr>
      <w:tr w:rsidR="00653987" w:rsidRPr="00E402CA" w14:paraId="05513C38" w14:textId="77777777" w:rsidTr="00D50961">
        <w:trPr>
          <w:trHeight w:val="286"/>
          <w:jc w:val="center"/>
        </w:trPr>
        <w:tc>
          <w:tcPr>
            <w:tcW w:w="3728" w:type="dxa"/>
            <w:shd w:val="clear" w:color="auto" w:fill="auto"/>
            <w:vAlign w:val="center"/>
          </w:tcPr>
          <w:p w14:paraId="347779DF"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 xml:space="preserve">Rotor </w:t>
            </w:r>
            <w:proofErr w:type="spellStart"/>
            <w:r w:rsidRPr="00E402CA">
              <w:rPr>
                <w:rFonts w:ascii="Arial" w:hAnsi="Arial" w:cs="Arial"/>
                <w:sz w:val="18"/>
                <w:szCs w:val="18"/>
              </w:rPr>
              <w:t>Diameter</w:t>
            </w:r>
            <w:proofErr w:type="spellEnd"/>
          </w:p>
        </w:tc>
        <w:tc>
          <w:tcPr>
            <w:tcW w:w="3728" w:type="dxa"/>
            <w:shd w:val="clear" w:color="auto" w:fill="auto"/>
            <w:vAlign w:val="center"/>
          </w:tcPr>
          <w:p w14:paraId="668B33DB" w14:textId="77777777" w:rsidR="00653987" w:rsidRPr="00E402CA" w:rsidRDefault="00653987" w:rsidP="00D50961">
            <w:pPr>
              <w:pStyle w:val="Default"/>
              <w:jc w:val="center"/>
              <w:rPr>
                <w:color w:val="auto"/>
                <w:sz w:val="18"/>
                <w:szCs w:val="18"/>
              </w:rPr>
            </w:pPr>
            <w:r>
              <w:rPr>
                <w:sz w:val="18"/>
                <w:szCs w:val="18"/>
              </w:rPr>
              <w:t>~</w:t>
            </w:r>
            <w:r w:rsidRPr="00E402CA">
              <w:rPr>
                <w:color w:val="auto"/>
                <w:sz w:val="18"/>
                <w:szCs w:val="18"/>
              </w:rPr>
              <w:t>236 metres</w:t>
            </w:r>
          </w:p>
        </w:tc>
      </w:tr>
      <w:tr w:rsidR="00653987" w:rsidRPr="00E402CA" w14:paraId="6241F227" w14:textId="77777777" w:rsidTr="00D50961">
        <w:trPr>
          <w:trHeight w:val="286"/>
          <w:jc w:val="center"/>
        </w:trPr>
        <w:tc>
          <w:tcPr>
            <w:tcW w:w="3728" w:type="dxa"/>
            <w:shd w:val="clear" w:color="auto" w:fill="auto"/>
            <w:vAlign w:val="center"/>
          </w:tcPr>
          <w:p w14:paraId="187FD3CA"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 xml:space="preserve">Single Blade </w:t>
            </w:r>
            <w:proofErr w:type="spellStart"/>
            <w:r w:rsidRPr="00E402CA">
              <w:rPr>
                <w:rFonts w:ascii="Arial" w:hAnsi="Arial" w:cs="Arial"/>
                <w:sz w:val="18"/>
                <w:szCs w:val="18"/>
              </w:rPr>
              <w:t>Length</w:t>
            </w:r>
            <w:proofErr w:type="spellEnd"/>
          </w:p>
        </w:tc>
        <w:tc>
          <w:tcPr>
            <w:tcW w:w="3728" w:type="dxa"/>
            <w:shd w:val="clear" w:color="auto" w:fill="auto"/>
            <w:vAlign w:val="center"/>
          </w:tcPr>
          <w:p w14:paraId="7AEC9CA2" w14:textId="77777777" w:rsidR="00653987" w:rsidRPr="00E402CA" w:rsidRDefault="00653987" w:rsidP="00D50961">
            <w:pPr>
              <w:jc w:val="center"/>
              <w:rPr>
                <w:rFonts w:ascii="Arial" w:hAnsi="Arial" w:cs="Arial"/>
                <w:sz w:val="18"/>
                <w:szCs w:val="18"/>
                <w:lang w:val="en-GB"/>
              </w:rPr>
            </w:pPr>
            <w:r>
              <w:rPr>
                <w:rFonts w:ascii="Arial" w:hAnsi="Arial" w:cs="Arial"/>
                <w:sz w:val="18"/>
                <w:szCs w:val="18"/>
              </w:rPr>
              <w:t>~</w:t>
            </w:r>
            <w:r w:rsidRPr="00E402CA">
              <w:rPr>
                <w:rFonts w:ascii="Arial" w:hAnsi="Arial" w:cs="Arial"/>
                <w:sz w:val="18"/>
                <w:szCs w:val="18"/>
              </w:rPr>
              <w:t>115–118 metres</w:t>
            </w:r>
          </w:p>
        </w:tc>
      </w:tr>
      <w:tr w:rsidR="00653987" w:rsidRPr="00E402CA" w14:paraId="0A969256" w14:textId="77777777" w:rsidTr="00D50961">
        <w:trPr>
          <w:trHeight w:val="298"/>
          <w:jc w:val="center"/>
        </w:trPr>
        <w:tc>
          <w:tcPr>
            <w:tcW w:w="3728" w:type="dxa"/>
            <w:shd w:val="clear" w:color="auto" w:fill="auto"/>
            <w:vAlign w:val="center"/>
          </w:tcPr>
          <w:p w14:paraId="16F3B363" w14:textId="77777777" w:rsidR="00653987" w:rsidRPr="00E402CA" w:rsidRDefault="00653987" w:rsidP="00D50961">
            <w:pPr>
              <w:jc w:val="center"/>
              <w:rPr>
                <w:rFonts w:ascii="Arial" w:hAnsi="Arial" w:cs="Arial"/>
                <w:sz w:val="18"/>
                <w:szCs w:val="18"/>
              </w:rPr>
            </w:pPr>
            <w:proofErr w:type="spellStart"/>
            <w:r w:rsidRPr="00E402CA">
              <w:rPr>
                <w:rFonts w:ascii="Arial" w:hAnsi="Arial" w:cs="Arial"/>
                <w:sz w:val="18"/>
                <w:szCs w:val="18"/>
              </w:rPr>
              <w:t>Nacelle</w:t>
            </w:r>
            <w:proofErr w:type="spellEnd"/>
            <w:r w:rsidRPr="00E402CA">
              <w:rPr>
                <w:rFonts w:ascii="Arial" w:hAnsi="Arial" w:cs="Arial"/>
                <w:sz w:val="18"/>
                <w:szCs w:val="18"/>
              </w:rPr>
              <w:t xml:space="preserve"> Mass</w:t>
            </w:r>
          </w:p>
        </w:tc>
        <w:tc>
          <w:tcPr>
            <w:tcW w:w="3728" w:type="dxa"/>
            <w:shd w:val="clear" w:color="auto" w:fill="auto"/>
            <w:vAlign w:val="center"/>
          </w:tcPr>
          <w:p w14:paraId="1E35A20D" w14:textId="77777777" w:rsidR="00653987" w:rsidRPr="00E402CA" w:rsidRDefault="00653987" w:rsidP="00D50961">
            <w:pPr>
              <w:jc w:val="center"/>
              <w:rPr>
                <w:rFonts w:ascii="Arial" w:hAnsi="Arial" w:cs="Arial"/>
                <w:sz w:val="18"/>
                <w:szCs w:val="18"/>
                <w:lang w:val="en-GB"/>
              </w:rPr>
            </w:pPr>
            <w:r>
              <w:rPr>
                <w:rFonts w:ascii="Arial" w:hAnsi="Arial" w:cs="Arial"/>
                <w:sz w:val="18"/>
                <w:szCs w:val="18"/>
              </w:rPr>
              <w:t>~</w:t>
            </w:r>
            <w:r w:rsidRPr="00E402CA">
              <w:rPr>
                <w:rFonts w:ascii="Arial" w:hAnsi="Arial" w:cs="Arial"/>
                <w:sz w:val="18"/>
                <w:szCs w:val="18"/>
              </w:rPr>
              <w:t xml:space="preserve">700–750 </w:t>
            </w:r>
            <w:proofErr w:type="spellStart"/>
            <w:r w:rsidRPr="00E402CA">
              <w:rPr>
                <w:rFonts w:ascii="Arial" w:hAnsi="Arial" w:cs="Arial"/>
                <w:sz w:val="18"/>
                <w:szCs w:val="18"/>
              </w:rPr>
              <w:t>tonnes</w:t>
            </w:r>
            <w:proofErr w:type="spellEnd"/>
          </w:p>
        </w:tc>
      </w:tr>
      <w:tr w:rsidR="00653987" w:rsidRPr="00E402CA" w14:paraId="4B7265AA" w14:textId="77777777" w:rsidTr="00D50961">
        <w:trPr>
          <w:trHeight w:val="286"/>
          <w:jc w:val="center"/>
        </w:trPr>
        <w:tc>
          <w:tcPr>
            <w:tcW w:w="3728" w:type="dxa"/>
            <w:shd w:val="clear" w:color="auto" w:fill="auto"/>
            <w:vAlign w:val="center"/>
          </w:tcPr>
          <w:p w14:paraId="4D7896E7"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Single Blade Mass</w:t>
            </w:r>
          </w:p>
        </w:tc>
        <w:tc>
          <w:tcPr>
            <w:tcW w:w="3728" w:type="dxa"/>
            <w:shd w:val="clear" w:color="auto" w:fill="auto"/>
            <w:vAlign w:val="center"/>
          </w:tcPr>
          <w:p w14:paraId="2641F576"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rPr>
              <w:t xml:space="preserve">~60 </w:t>
            </w:r>
            <w:proofErr w:type="spellStart"/>
            <w:r w:rsidRPr="00E402CA">
              <w:rPr>
                <w:rFonts w:ascii="Arial" w:hAnsi="Arial" w:cs="Arial"/>
                <w:sz w:val="18"/>
                <w:szCs w:val="18"/>
              </w:rPr>
              <w:t>tonnes</w:t>
            </w:r>
            <w:proofErr w:type="spellEnd"/>
          </w:p>
        </w:tc>
      </w:tr>
      <w:tr w:rsidR="00653987" w:rsidRPr="00E402CA" w14:paraId="14CBA29C" w14:textId="77777777" w:rsidTr="00D50961">
        <w:trPr>
          <w:trHeight w:val="286"/>
          <w:jc w:val="center"/>
        </w:trPr>
        <w:tc>
          <w:tcPr>
            <w:tcW w:w="3728" w:type="dxa"/>
            <w:shd w:val="clear" w:color="auto" w:fill="auto"/>
            <w:vAlign w:val="center"/>
          </w:tcPr>
          <w:p w14:paraId="7EB314A1"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lang w:val="en-GB"/>
              </w:rPr>
              <w:t>Tower Mass(incl. Lifting tools)</w:t>
            </w:r>
          </w:p>
        </w:tc>
        <w:tc>
          <w:tcPr>
            <w:tcW w:w="3728" w:type="dxa"/>
            <w:shd w:val="clear" w:color="auto" w:fill="auto"/>
            <w:vAlign w:val="center"/>
          </w:tcPr>
          <w:p w14:paraId="372B5794"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rPr>
              <w:t xml:space="preserve">900–1,000 </w:t>
            </w:r>
            <w:proofErr w:type="spellStart"/>
            <w:r w:rsidRPr="00E402CA">
              <w:rPr>
                <w:rFonts w:ascii="Arial" w:hAnsi="Arial" w:cs="Arial"/>
                <w:sz w:val="18"/>
                <w:szCs w:val="18"/>
              </w:rPr>
              <w:t>tonnes</w:t>
            </w:r>
            <w:proofErr w:type="spellEnd"/>
          </w:p>
        </w:tc>
      </w:tr>
      <w:tr w:rsidR="00653987" w:rsidRPr="00E402CA" w14:paraId="1EF180A1" w14:textId="77777777" w:rsidTr="00D50961">
        <w:trPr>
          <w:trHeight w:val="298"/>
          <w:jc w:val="center"/>
        </w:trPr>
        <w:tc>
          <w:tcPr>
            <w:tcW w:w="3728" w:type="dxa"/>
            <w:shd w:val="clear" w:color="auto" w:fill="auto"/>
            <w:vAlign w:val="center"/>
          </w:tcPr>
          <w:p w14:paraId="6329E5FB"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lang w:val="en-GB"/>
              </w:rPr>
              <w:t>RNA Mass (Rotor + Hub + Nacelle)</w:t>
            </w:r>
          </w:p>
        </w:tc>
        <w:tc>
          <w:tcPr>
            <w:tcW w:w="3728" w:type="dxa"/>
            <w:shd w:val="clear" w:color="auto" w:fill="auto"/>
            <w:vAlign w:val="center"/>
          </w:tcPr>
          <w:p w14:paraId="5968A792"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rPr>
              <w:t xml:space="preserve">~900 </w:t>
            </w:r>
            <w:proofErr w:type="spellStart"/>
            <w:r w:rsidRPr="00E402CA">
              <w:rPr>
                <w:rFonts w:ascii="Arial" w:hAnsi="Arial" w:cs="Arial"/>
                <w:sz w:val="18"/>
                <w:szCs w:val="18"/>
              </w:rPr>
              <w:t>tonnes</w:t>
            </w:r>
            <w:proofErr w:type="spellEnd"/>
          </w:p>
        </w:tc>
      </w:tr>
      <w:tr w:rsidR="00653987" w:rsidRPr="00E402CA" w14:paraId="265AD962" w14:textId="77777777" w:rsidTr="00D50961">
        <w:trPr>
          <w:trHeight w:val="286"/>
          <w:jc w:val="center"/>
        </w:trPr>
        <w:tc>
          <w:tcPr>
            <w:tcW w:w="3728" w:type="dxa"/>
            <w:shd w:val="clear" w:color="auto" w:fill="auto"/>
            <w:vAlign w:val="center"/>
          </w:tcPr>
          <w:p w14:paraId="31E06C3E" w14:textId="77777777" w:rsidR="00653987" w:rsidRPr="00E402CA" w:rsidRDefault="00653987" w:rsidP="00D50961">
            <w:pPr>
              <w:jc w:val="center"/>
              <w:rPr>
                <w:rFonts w:ascii="Arial" w:hAnsi="Arial" w:cs="Arial"/>
                <w:sz w:val="18"/>
                <w:szCs w:val="18"/>
              </w:rPr>
            </w:pPr>
            <w:r w:rsidRPr="00E402CA">
              <w:rPr>
                <w:rFonts w:ascii="Arial" w:hAnsi="Arial" w:cs="Arial"/>
                <w:sz w:val="18"/>
                <w:szCs w:val="18"/>
              </w:rPr>
              <w:t>Total Mass (Tower + RNA)</w:t>
            </w:r>
          </w:p>
        </w:tc>
        <w:tc>
          <w:tcPr>
            <w:tcW w:w="3728" w:type="dxa"/>
            <w:shd w:val="clear" w:color="auto" w:fill="auto"/>
            <w:vAlign w:val="center"/>
          </w:tcPr>
          <w:p w14:paraId="09A55281" w14:textId="77777777" w:rsidR="00653987" w:rsidRPr="00E402CA" w:rsidRDefault="00653987" w:rsidP="00D50961">
            <w:pPr>
              <w:jc w:val="center"/>
              <w:rPr>
                <w:rFonts w:ascii="Arial" w:hAnsi="Arial" w:cs="Arial"/>
                <w:sz w:val="18"/>
                <w:szCs w:val="18"/>
                <w:lang w:val="en-GB"/>
              </w:rPr>
            </w:pPr>
            <w:r w:rsidRPr="00E402CA">
              <w:rPr>
                <w:rFonts w:ascii="Arial" w:hAnsi="Arial" w:cs="Arial"/>
                <w:sz w:val="18"/>
                <w:szCs w:val="18"/>
              </w:rPr>
              <w:t xml:space="preserve">~1,900 </w:t>
            </w:r>
            <w:proofErr w:type="spellStart"/>
            <w:r w:rsidRPr="00E402CA">
              <w:rPr>
                <w:rFonts w:ascii="Arial" w:hAnsi="Arial" w:cs="Arial"/>
                <w:sz w:val="18"/>
                <w:szCs w:val="18"/>
              </w:rPr>
              <w:t>tonnes</w:t>
            </w:r>
            <w:proofErr w:type="spellEnd"/>
          </w:p>
        </w:tc>
      </w:tr>
    </w:tbl>
    <w:p w14:paraId="06525920" w14:textId="2D719C15" w:rsidR="00653987" w:rsidRDefault="00653987" w:rsidP="00653987">
      <w:pPr>
        <w:pStyle w:val="Akapitzlist"/>
        <w:ind w:left="1146"/>
        <w:jc w:val="both"/>
        <w:outlineLvl w:val="3"/>
        <w:rPr>
          <w:rFonts w:ascii="Arial" w:hAnsi="Arial" w:cs="Arial"/>
          <w:sz w:val="18"/>
          <w:szCs w:val="18"/>
          <w:lang w:val="en-GB"/>
        </w:rPr>
      </w:pPr>
    </w:p>
    <w:p w14:paraId="7A7D9433" w14:textId="77777777" w:rsidR="00653987" w:rsidRPr="00653987" w:rsidRDefault="00653987" w:rsidP="00653987">
      <w:pPr>
        <w:pStyle w:val="Akapitzlist"/>
        <w:ind w:left="1146"/>
        <w:jc w:val="both"/>
        <w:outlineLvl w:val="3"/>
        <w:rPr>
          <w:rFonts w:ascii="Arial" w:hAnsi="Arial" w:cs="Arial"/>
          <w:sz w:val="18"/>
          <w:szCs w:val="18"/>
          <w:lang w:val="en-GB"/>
        </w:rPr>
      </w:pPr>
    </w:p>
    <w:p w14:paraId="754EEE43" w14:textId="3A0981FB" w:rsidR="00653987" w:rsidRPr="00653987" w:rsidRDefault="00653987" w:rsidP="00653987">
      <w:pPr>
        <w:pStyle w:val="Akapitzlist"/>
        <w:numPr>
          <w:ilvl w:val="0"/>
          <w:numId w:val="7"/>
        </w:numPr>
        <w:jc w:val="both"/>
        <w:outlineLvl w:val="3"/>
        <w:rPr>
          <w:rFonts w:ascii="Arial" w:hAnsi="Arial" w:cs="Arial"/>
          <w:b/>
          <w:lang w:val="en-GB"/>
        </w:rPr>
      </w:pPr>
      <w:bookmarkStart w:id="28" w:name="_GoBack"/>
      <w:bookmarkEnd w:id="28"/>
      <w:r w:rsidRPr="00653987">
        <w:rPr>
          <w:rFonts w:ascii="Arial" w:hAnsi="Arial" w:cs="Arial"/>
          <w:b/>
          <w:lang w:val="en-GB"/>
        </w:rPr>
        <w:t>Suitability for Installation Activities.</w:t>
      </w:r>
    </w:p>
    <w:p w14:paraId="70178449" w14:textId="77777777" w:rsidR="00653987" w:rsidRPr="00E402CA" w:rsidRDefault="00653987" w:rsidP="00653987">
      <w:pPr>
        <w:rPr>
          <w:rFonts w:ascii="Arial" w:hAnsi="Arial" w:cs="Arial"/>
          <w:b/>
          <w:lang w:val="en-GB"/>
        </w:rPr>
      </w:pPr>
    </w:p>
    <w:p w14:paraId="513ADFC7" w14:textId="77777777" w:rsidR="00653987" w:rsidRPr="00E402CA" w:rsidRDefault="00653987" w:rsidP="00653987">
      <w:pPr>
        <w:spacing w:line="276" w:lineRule="auto"/>
        <w:jc w:val="both"/>
        <w:rPr>
          <w:rFonts w:ascii="Arial" w:hAnsi="Arial" w:cs="Arial"/>
          <w:sz w:val="18"/>
          <w:szCs w:val="18"/>
          <w:lang w:val="en-GB" w:eastAsia="en-US"/>
        </w:rPr>
      </w:pPr>
      <w:r w:rsidRPr="00E402CA">
        <w:rPr>
          <w:rFonts w:ascii="Arial" w:hAnsi="Arial" w:cs="Arial"/>
          <w:sz w:val="18"/>
          <w:szCs w:val="18"/>
          <w:lang w:val="en-GB" w:eastAsia="en-US"/>
        </w:rPr>
        <w:t>Based on the current analysis following can be assumed:</w:t>
      </w:r>
    </w:p>
    <w:p w14:paraId="5AA7A77D"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t>Water depths fall within operational thresholds for standard installation jack-up vessels.</w:t>
      </w:r>
    </w:p>
    <w:p w14:paraId="6CD14A36"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lastRenderedPageBreak/>
        <w:t>The seabed appears to provide stable positioning zones, but preliminary risk of leg punch-through or leg instability will be verified via CPT or borehole investigations.</w:t>
      </w:r>
    </w:p>
    <w:p w14:paraId="3418F7B9" w14:textId="77777777" w:rsidR="00653987" w:rsidRPr="00E402CA" w:rsidRDefault="00653987" w:rsidP="00653987">
      <w:pPr>
        <w:pStyle w:val="Akapitzlist"/>
        <w:numPr>
          <w:ilvl w:val="0"/>
          <w:numId w:val="3"/>
        </w:numPr>
        <w:jc w:val="both"/>
        <w:rPr>
          <w:rFonts w:ascii="Arial" w:hAnsi="Arial" w:cs="Arial"/>
          <w:sz w:val="18"/>
          <w:szCs w:val="18"/>
          <w:lang w:val="en-GB"/>
        </w:rPr>
      </w:pPr>
      <w:r w:rsidRPr="00E402CA">
        <w:rPr>
          <w:rFonts w:ascii="Arial" w:hAnsi="Arial" w:cs="Arial"/>
          <w:sz w:val="18"/>
          <w:szCs w:val="18"/>
          <w:lang w:val="en-GB"/>
        </w:rPr>
        <w:t>The seabed in the area appears suitable for installation activities involving jack-up vessels, anchoring, Further site-specific geotechnical assessments are carried out. The current depth analysis is a robust initial input for vessel selection, positioning strategy, and marine construction planning.</w:t>
      </w:r>
    </w:p>
    <w:p w14:paraId="1CD3BF4F" w14:textId="77777777" w:rsidR="004244A3" w:rsidRPr="00E402CA" w:rsidRDefault="004244A3" w:rsidP="004244A3">
      <w:pPr>
        <w:rPr>
          <w:rFonts w:ascii="Arial" w:hAnsi="Arial" w:cs="Arial"/>
          <w:b/>
          <w:lang w:val="en-GB"/>
        </w:rPr>
      </w:pPr>
    </w:p>
    <w:sectPr w:rsidR="004244A3" w:rsidRPr="00E402CA">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68012E" w14:textId="77777777" w:rsidR="00F543E7" w:rsidRDefault="00F543E7" w:rsidP="00721D78">
      <w:r>
        <w:separator/>
      </w:r>
    </w:p>
  </w:endnote>
  <w:endnote w:type="continuationSeparator" w:id="0">
    <w:p w14:paraId="73E7C1E4" w14:textId="77777777" w:rsidR="00F543E7" w:rsidRDefault="00F543E7" w:rsidP="00721D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8BC410" w14:textId="77777777" w:rsidR="00F543E7" w:rsidRDefault="00F543E7" w:rsidP="00721D78">
      <w:r>
        <w:separator/>
      </w:r>
    </w:p>
  </w:footnote>
  <w:footnote w:type="continuationSeparator" w:id="0">
    <w:p w14:paraId="5F556C88" w14:textId="77777777" w:rsidR="00F543E7" w:rsidRDefault="00F543E7" w:rsidP="00721D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6627"/>
    </w:tblGrid>
    <w:tr w:rsidR="00721D78" w:rsidRPr="00653987" w14:paraId="70C97128" w14:textId="77777777" w:rsidTr="00D1060F">
      <w:trPr>
        <w:trHeight w:val="983"/>
        <w:jc w:val="center"/>
      </w:trPr>
      <w:tc>
        <w:tcPr>
          <w:tcW w:w="2808" w:type="dxa"/>
          <w:tcBorders>
            <w:top w:val="single" w:sz="4" w:space="0" w:color="auto"/>
            <w:left w:val="single" w:sz="4" w:space="0" w:color="auto"/>
            <w:bottom w:val="single" w:sz="4" w:space="0" w:color="auto"/>
            <w:right w:val="single" w:sz="4" w:space="0" w:color="auto"/>
          </w:tcBorders>
          <w:vAlign w:val="center"/>
        </w:tcPr>
        <w:p w14:paraId="34162D08" w14:textId="77777777" w:rsidR="00721D78" w:rsidRPr="00721D78" w:rsidRDefault="00721D78" w:rsidP="00721D78">
          <w:pPr>
            <w:spacing w:before="60" w:after="60"/>
            <w:jc w:val="center"/>
          </w:pPr>
          <w:r w:rsidRPr="00721D78">
            <w:rPr>
              <w:noProof/>
            </w:rPr>
            <w:drawing>
              <wp:inline distT="0" distB="0" distL="0" distR="0" wp14:anchorId="7B070C41" wp14:editId="586E1C36">
                <wp:extent cx="1360715" cy="52391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4202" cy="532960"/>
                        </a:xfrm>
                        <a:prstGeom prst="rect">
                          <a:avLst/>
                        </a:prstGeom>
                        <a:noFill/>
                      </pic:spPr>
                    </pic:pic>
                  </a:graphicData>
                </a:graphic>
              </wp:inline>
            </w:drawing>
          </w:r>
        </w:p>
      </w:tc>
      <w:tc>
        <w:tcPr>
          <w:tcW w:w="6627" w:type="dxa"/>
          <w:tcBorders>
            <w:top w:val="single" w:sz="4" w:space="0" w:color="auto"/>
            <w:left w:val="single" w:sz="4" w:space="0" w:color="auto"/>
            <w:bottom w:val="single" w:sz="4" w:space="0" w:color="auto"/>
            <w:right w:val="single" w:sz="4" w:space="0" w:color="auto"/>
          </w:tcBorders>
          <w:vAlign w:val="center"/>
        </w:tcPr>
        <w:p w14:paraId="51CA6BF7" w14:textId="200C9790" w:rsidR="00721D78" w:rsidRPr="00721D78" w:rsidRDefault="00721D78" w:rsidP="005D7CEA">
          <w:pPr>
            <w:jc w:val="center"/>
            <w:rPr>
              <w:rFonts w:ascii="Arial" w:hAnsi="Arial" w:cs="Arial"/>
              <w:sz w:val="16"/>
              <w:szCs w:val="16"/>
              <w:lang w:val="en-GB"/>
            </w:rPr>
          </w:pPr>
          <w:r w:rsidRPr="005D7CEA">
            <w:rPr>
              <w:rFonts w:ascii="Arial" w:hAnsi="Arial" w:cs="Arial"/>
              <w:b/>
              <w:sz w:val="16"/>
              <w:szCs w:val="16"/>
              <w:lang w:val="en-GB"/>
            </w:rPr>
            <w:t>Appendix No</w:t>
          </w:r>
          <w:r w:rsidRPr="005D7CEA">
            <w:rPr>
              <w:rFonts w:ascii="Arial" w:hAnsi="Arial" w:cs="Arial"/>
              <w:sz w:val="16"/>
              <w:szCs w:val="16"/>
              <w:lang w:val="en-GB"/>
            </w:rPr>
            <w:t xml:space="preserve">. 1 </w:t>
          </w:r>
          <w:r w:rsidR="005D7CEA" w:rsidRPr="005D7CEA">
            <w:rPr>
              <w:rFonts w:ascii="Arial" w:hAnsi="Arial" w:cs="Arial"/>
              <w:sz w:val="16"/>
              <w:szCs w:val="16"/>
              <w:lang w:val="en-GB"/>
            </w:rPr>
            <w:t>–</w:t>
          </w:r>
          <w:r w:rsidRPr="005D7CEA">
            <w:rPr>
              <w:rFonts w:ascii="Arial" w:hAnsi="Arial" w:cs="Arial"/>
              <w:sz w:val="16"/>
              <w:szCs w:val="16"/>
              <w:lang w:val="en-GB"/>
            </w:rPr>
            <w:t xml:space="preserve"> </w:t>
          </w:r>
          <w:r w:rsidR="005D7CEA" w:rsidRPr="005D7CEA">
            <w:rPr>
              <w:rFonts w:ascii="Arial" w:hAnsi="Arial" w:cs="Arial"/>
              <w:sz w:val="16"/>
              <w:szCs w:val="16"/>
              <w:lang w:val="en-GB"/>
            </w:rPr>
            <w:t>Baltic East Project - INTRODUCTION</w:t>
          </w:r>
        </w:p>
        <w:p w14:paraId="5D9CB753" w14:textId="5F683F68" w:rsidR="00721D78" w:rsidRPr="00721D78" w:rsidRDefault="00721D78" w:rsidP="00721D78">
          <w:pPr>
            <w:jc w:val="center"/>
            <w:rPr>
              <w:rFonts w:ascii="Arial" w:hAnsi="Arial" w:cs="Arial"/>
              <w:sz w:val="16"/>
              <w:szCs w:val="16"/>
              <w:lang w:val="en-GB"/>
            </w:rPr>
          </w:pPr>
          <w:r w:rsidRPr="00721D78">
            <w:rPr>
              <w:rFonts w:ascii="Arial" w:hAnsi="Arial" w:cs="Arial"/>
              <w:sz w:val="16"/>
              <w:szCs w:val="16"/>
              <w:lang w:val="en-GB"/>
            </w:rPr>
            <w:t>as part of the</w:t>
          </w:r>
          <w:r w:rsidR="005D7CEA">
            <w:rPr>
              <w:rFonts w:ascii="Arial" w:hAnsi="Arial" w:cs="Arial"/>
              <w:sz w:val="16"/>
              <w:szCs w:val="16"/>
              <w:lang w:val="en-GB"/>
            </w:rPr>
            <w:t xml:space="preserve"> RFI</w:t>
          </w:r>
          <w:r w:rsidRPr="00721D78">
            <w:rPr>
              <w:rFonts w:ascii="Arial" w:hAnsi="Arial" w:cs="Arial"/>
              <w:sz w:val="16"/>
              <w:szCs w:val="16"/>
              <w:lang w:val="en-GB"/>
            </w:rPr>
            <w:t xml:space="preserve"> procurement procedure entitled:</w:t>
          </w:r>
        </w:p>
        <w:p w14:paraId="6031C7C3" w14:textId="3048EB3C" w:rsidR="00721D78" w:rsidRPr="00721D78" w:rsidRDefault="00721D78" w:rsidP="00BF4098">
          <w:pPr>
            <w:jc w:val="center"/>
            <w:rPr>
              <w:rFonts w:ascii="Arial" w:hAnsi="Arial" w:cs="Arial"/>
              <w:b/>
              <w:sz w:val="16"/>
              <w:szCs w:val="16"/>
              <w:lang w:val="en-GB"/>
            </w:rPr>
          </w:pPr>
          <w:r w:rsidRPr="00721D78">
            <w:rPr>
              <w:rFonts w:ascii="Arial" w:hAnsi="Arial" w:cs="Arial"/>
              <w:b/>
              <w:sz w:val="16"/>
              <w:szCs w:val="16"/>
              <w:lang w:val="en-GB"/>
            </w:rPr>
            <w:t>“Transport and Installation</w:t>
          </w:r>
          <w:r w:rsidR="00BF4098">
            <w:rPr>
              <w:rFonts w:ascii="Arial" w:hAnsi="Arial" w:cs="Arial"/>
              <w:b/>
              <w:sz w:val="16"/>
              <w:szCs w:val="16"/>
              <w:lang w:val="en-GB"/>
            </w:rPr>
            <w:t xml:space="preserve"> services</w:t>
          </w:r>
          <w:r w:rsidRPr="00721D78">
            <w:rPr>
              <w:rFonts w:ascii="Arial" w:hAnsi="Arial" w:cs="Arial"/>
              <w:b/>
              <w:sz w:val="16"/>
              <w:szCs w:val="16"/>
              <w:lang w:val="en-GB"/>
            </w:rPr>
            <w:t xml:space="preserve"> of Offshore </w:t>
          </w:r>
          <w:r w:rsidR="00BF4098" w:rsidRPr="00BF4098">
            <w:rPr>
              <w:rFonts w:ascii="Arial" w:hAnsi="Arial" w:cs="Arial"/>
              <w:b/>
              <w:sz w:val="16"/>
              <w:szCs w:val="16"/>
              <w:lang w:val="en-US"/>
            </w:rPr>
            <w:t>Wind Turbine Generator (WTG) components</w:t>
          </w:r>
          <w:r w:rsidR="00BF4098">
            <w:rPr>
              <w:rFonts w:ascii="Arial" w:hAnsi="Arial" w:cs="Arial"/>
              <w:b/>
              <w:sz w:val="16"/>
              <w:szCs w:val="16"/>
              <w:lang w:val="en-US"/>
            </w:rPr>
            <w:t xml:space="preserve"> </w:t>
          </w:r>
          <w:r w:rsidR="00BF4098">
            <w:rPr>
              <w:rFonts w:ascii="Arial" w:hAnsi="Arial" w:cs="Arial"/>
              <w:b/>
              <w:sz w:val="16"/>
              <w:szCs w:val="16"/>
              <w:lang w:val="en-GB"/>
            </w:rPr>
            <w:t>for the</w:t>
          </w:r>
          <w:r w:rsidR="00BF4098" w:rsidRPr="00BF4098">
            <w:rPr>
              <w:rFonts w:ascii="Arial" w:hAnsi="Arial" w:cs="Arial"/>
              <w:b/>
              <w:sz w:val="16"/>
              <w:szCs w:val="16"/>
              <w:lang w:val="en-US"/>
            </w:rPr>
            <w:t> Offshore Wind Farm Project</w:t>
          </w:r>
          <w:r w:rsidRPr="00721D78">
            <w:rPr>
              <w:rFonts w:ascii="Arial" w:hAnsi="Arial" w:cs="Arial"/>
              <w:b/>
              <w:sz w:val="16"/>
              <w:szCs w:val="16"/>
              <w:lang w:val="en-GB"/>
            </w:rPr>
            <w:t>.”</w:t>
          </w:r>
        </w:p>
      </w:tc>
    </w:tr>
  </w:tbl>
  <w:p w14:paraId="32DD65D0" w14:textId="77777777" w:rsidR="00721D78" w:rsidRPr="00721D78" w:rsidRDefault="00721D78">
    <w:pPr>
      <w:pStyle w:val="Nagwek"/>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D5555F"/>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AA55988"/>
    <w:multiLevelType w:val="multilevel"/>
    <w:tmpl w:val="FB2667C6"/>
    <w:lvl w:ilvl="0">
      <w:start w:val="1"/>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C963767"/>
    <w:multiLevelType w:val="hybridMultilevel"/>
    <w:tmpl w:val="6BECCF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BF7E42"/>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A343A33"/>
    <w:multiLevelType w:val="multilevel"/>
    <w:tmpl w:val="04E2C3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i w:val="0"/>
        <w:sz w:val="20"/>
        <w:szCs w:val="18"/>
        <w:lang w:val="pl-PL"/>
      </w:rPr>
    </w:lvl>
    <w:lvl w:ilvl="2">
      <w:start w:val="1"/>
      <w:numFmt w:val="decimal"/>
      <w:isLgl/>
      <w:lvlText w:val="%1.%2.%3."/>
      <w:lvlJc w:val="left"/>
      <w:pPr>
        <w:ind w:left="114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649314D6"/>
    <w:multiLevelType w:val="hybridMultilevel"/>
    <w:tmpl w:val="87321F14"/>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 w15:restartNumberingAfterBreak="0">
    <w:nsid w:val="75FA430B"/>
    <w:multiLevelType w:val="hybridMultilevel"/>
    <w:tmpl w:val="3EE66440"/>
    <w:lvl w:ilvl="0" w:tplc="746487A0">
      <w:numFmt w:val="bullet"/>
      <w:lvlText w:val="•"/>
      <w:lvlJc w:val="left"/>
      <w:pPr>
        <w:ind w:left="1440" w:hanging="360"/>
      </w:pPr>
      <w:rPr>
        <w:rFonts w:ascii="Arial" w:eastAsia="Times New Roman"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6"/>
  </w:num>
  <w:num w:numId="4">
    <w:abstractNumId w:val="1"/>
  </w:num>
  <w:num w:numId="5">
    <w:abstractNumId w:val="0"/>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6D5"/>
    <w:rsid w:val="004244A3"/>
    <w:rsid w:val="00497F78"/>
    <w:rsid w:val="004F2F98"/>
    <w:rsid w:val="005112BA"/>
    <w:rsid w:val="005D7CEA"/>
    <w:rsid w:val="005E2808"/>
    <w:rsid w:val="00653987"/>
    <w:rsid w:val="00721D78"/>
    <w:rsid w:val="008726D5"/>
    <w:rsid w:val="009167C2"/>
    <w:rsid w:val="00973E4F"/>
    <w:rsid w:val="00BB4A2F"/>
    <w:rsid w:val="00BE6C50"/>
    <w:rsid w:val="00BF4098"/>
    <w:rsid w:val="00C664BA"/>
    <w:rsid w:val="00CB3496"/>
    <w:rsid w:val="00CF75A1"/>
    <w:rsid w:val="00E07771"/>
    <w:rsid w:val="00E07A66"/>
    <w:rsid w:val="00F543E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77DF88"/>
  <w15:chartTrackingRefBased/>
  <w15:docId w15:val="{04CB6F1D-B251-4C14-88CD-0F0BBEB44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Normalny pogrubiony AL"/>
    <w:qFormat/>
    <w:rsid w:val="004244A3"/>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uiPriority w:val="9"/>
    <w:qFormat/>
    <w:rsid w:val="00BE6C50"/>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K2 lista alfabetyczna,K2 Alphabetical list,Alpha list,Normal,Akapit z listą3,Akapit z listą31,Podsis rysunku,lp1,KRS,Akapit z listą1,Normal2,Normal_0"/>
    <w:basedOn w:val="Normalny"/>
    <w:link w:val="AkapitzlistZnak"/>
    <w:uiPriority w:val="34"/>
    <w:qFormat/>
    <w:rsid w:val="004244A3"/>
    <w:pPr>
      <w:spacing w:after="200" w:line="276" w:lineRule="auto"/>
      <w:ind w:left="720"/>
      <w:contextualSpacing/>
    </w:pPr>
    <w:rPr>
      <w:rFonts w:ascii="Calibri" w:eastAsia="Calibri" w:hAnsi="Calibri"/>
      <w:sz w:val="22"/>
      <w:szCs w:val="22"/>
      <w:lang w:eastAsia="en-US"/>
    </w:rPr>
  </w:style>
  <w:style w:type="character" w:customStyle="1" w:styleId="AkapitzlistZnak">
    <w:name w:val="Akapit z listą Znak"/>
    <w:aliases w:val="K2 lista alfabetyczna Znak,K2 Alphabetical list Znak,Alpha list Znak,Normal Znak,Akapit z listą3 Znak,Akapit z listą31 Znak,Podsis rysunku Znak,lp1 Znak,KRS Znak,Akapit z listą1 Znak,Normal2 Znak,Normal_0 Znak"/>
    <w:link w:val="Akapitzlist"/>
    <w:uiPriority w:val="34"/>
    <w:locked/>
    <w:rsid w:val="004244A3"/>
    <w:rPr>
      <w:rFonts w:ascii="Calibri" w:eastAsia="Calibri" w:hAnsi="Calibri" w:cs="Times New Roman"/>
    </w:rPr>
  </w:style>
  <w:style w:type="character" w:styleId="Hipercze">
    <w:name w:val="Hyperlink"/>
    <w:uiPriority w:val="99"/>
    <w:rsid w:val="004244A3"/>
    <w:rPr>
      <w:color w:val="0000FF"/>
      <w:u w:val="single"/>
    </w:rPr>
  </w:style>
  <w:style w:type="table" w:styleId="Tabela-Siatka">
    <w:name w:val="Table Grid"/>
    <w:basedOn w:val="Standardowy"/>
    <w:uiPriority w:val="39"/>
    <w:rsid w:val="004244A3"/>
    <w:pPr>
      <w:spacing w:after="0"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unhideWhenUsed/>
    <w:rsid w:val="004244A3"/>
    <w:rPr>
      <w:sz w:val="16"/>
      <w:szCs w:val="16"/>
    </w:rPr>
  </w:style>
  <w:style w:type="paragraph" w:styleId="Tekstkomentarza">
    <w:name w:val="annotation text"/>
    <w:basedOn w:val="Normalny"/>
    <w:link w:val="TekstkomentarzaZnak"/>
    <w:uiPriority w:val="99"/>
    <w:unhideWhenUsed/>
    <w:rsid w:val="004244A3"/>
  </w:style>
  <w:style w:type="character" w:customStyle="1" w:styleId="TekstkomentarzaZnak">
    <w:name w:val="Tekst komentarza Znak"/>
    <w:basedOn w:val="Domylnaczcionkaakapitu"/>
    <w:link w:val="Tekstkomentarza"/>
    <w:uiPriority w:val="99"/>
    <w:rsid w:val="004244A3"/>
    <w:rPr>
      <w:rFonts w:ascii="Times New Roman" w:eastAsia="Times New Roman" w:hAnsi="Times New Roman" w:cs="Times New Roman"/>
      <w:sz w:val="20"/>
      <w:szCs w:val="20"/>
      <w:lang w:eastAsia="pl-PL"/>
    </w:rPr>
  </w:style>
  <w:style w:type="paragraph" w:customStyle="1" w:styleId="Default">
    <w:name w:val="Default"/>
    <w:rsid w:val="004244A3"/>
    <w:pPr>
      <w:autoSpaceDE w:val="0"/>
      <w:autoSpaceDN w:val="0"/>
      <w:adjustRightInd w:val="0"/>
      <w:spacing w:after="0" w:line="240" w:lineRule="auto"/>
    </w:pPr>
    <w:rPr>
      <w:rFonts w:ascii="Arial" w:eastAsia="Times New Roman" w:hAnsi="Arial" w:cs="Arial"/>
      <w:color w:val="000000"/>
      <w:sz w:val="24"/>
      <w:szCs w:val="24"/>
      <w:lang w:eastAsia="pl-PL"/>
    </w:rPr>
  </w:style>
  <w:style w:type="paragraph" w:styleId="Legenda">
    <w:name w:val="caption"/>
    <w:aliases w:val="~Caption,Caption Char1,Caption Char Char,Caption Char2 Char Char,Caption Char1 Char Char Char,Caption Char Char Char Char Char,Caption Char2 Char Char Char Char Char,Caption Char1 Char1 Char Char Char Char Char,Char Char,Ref"/>
    <w:basedOn w:val="Normalny"/>
    <w:next w:val="Normalny"/>
    <w:link w:val="LegendaZnak"/>
    <w:uiPriority w:val="35"/>
    <w:qFormat/>
    <w:rsid w:val="004244A3"/>
    <w:pPr>
      <w:spacing w:before="120" w:after="120"/>
      <w:ind w:left="720" w:right="-6"/>
      <w:jc w:val="center"/>
    </w:pPr>
    <w:rPr>
      <w:rFonts w:ascii="Arial" w:hAnsi="Arial" w:cs="Arial"/>
      <w:b/>
      <w:bCs/>
      <w:lang w:val="en-GB" w:eastAsia="en-US"/>
    </w:rPr>
  </w:style>
  <w:style w:type="character" w:customStyle="1" w:styleId="LegendaZnak">
    <w:name w:val="Legenda Znak"/>
    <w:aliases w:val="~Caption Znak,Caption Char1 Znak,Caption Char Char Znak,Caption Char2 Char Char Znak,Caption Char1 Char Char Char Znak,Caption Char Char Char Char Char Znak,Caption Char2 Char Char Char Char Char Znak,Char Char Znak,Ref Znak"/>
    <w:link w:val="Legenda"/>
    <w:uiPriority w:val="35"/>
    <w:locked/>
    <w:rsid w:val="004244A3"/>
    <w:rPr>
      <w:rFonts w:ascii="Arial" w:eastAsia="Times New Roman" w:hAnsi="Arial" w:cs="Arial"/>
      <w:b/>
      <w:bCs/>
      <w:sz w:val="20"/>
      <w:szCs w:val="20"/>
      <w:lang w:val="en-GB"/>
    </w:rPr>
  </w:style>
  <w:style w:type="paragraph" w:styleId="Tekstdymka">
    <w:name w:val="Balloon Text"/>
    <w:basedOn w:val="Normalny"/>
    <w:link w:val="TekstdymkaZnak"/>
    <w:uiPriority w:val="99"/>
    <w:semiHidden/>
    <w:unhideWhenUsed/>
    <w:rsid w:val="004244A3"/>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44A3"/>
    <w:rPr>
      <w:rFonts w:ascii="Segoe UI" w:eastAsia="Times New Roman" w:hAnsi="Segoe UI" w:cs="Segoe UI"/>
      <w:sz w:val="18"/>
      <w:szCs w:val="18"/>
      <w:lang w:eastAsia="pl-PL"/>
    </w:rPr>
  </w:style>
  <w:style w:type="paragraph" w:styleId="Tematkomentarza">
    <w:name w:val="annotation subject"/>
    <w:basedOn w:val="Tekstkomentarza"/>
    <w:next w:val="Tekstkomentarza"/>
    <w:link w:val="TematkomentarzaZnak"/>
    <w:uiPriority w:val="99"/>
    <w:semiHidden/>
    <w:unhideWhenUsed/>
    <w:rsid w:val="00BB4A2F"/>
    <w:rPr>
      <w:b/>
      <w:bCs/>
    </w:rPr>
  </w:style>
  <w:style w:type="character" w:customStyle="1" w:styleId="TematkomentarzaZnak">
    <w:name w:val="Temat komentarza Znak"/>
    <w:basedOn w:val="TekstkomentarzaZnak"/>
    <w:link w:val="Tematkomentarza"/>
    <w:uiPriority w:val="99"/>
    <w:semiHidden/>
    <w:rsid w:val="00BB4A2F"/>
    <w:rPr>
      <w:rFonts w:ascii="Times New Roman" w:eastAsia="Times New Roman" w:hAnsi="Times New Roman" w:cs="Times New Roman"/>
      <w:b/>
      <w:bCs/>
      <w:sz w:val="20"/>
      <w:szCs w:val="20"/>
      <w:lang w:eastAsia="pl-PL"/>
    </w:rPr>
  </w:style>
  <w:style w:type="paragraph" w:styleId="Tytu">
    <w:name w:val="Title"/>
    <w:basedOn w:val="Normalny"/>
    <w:link w:val="TytuZnak"/>
    <w:qFormat/>
    <w:rsid w:val="00721D78"/>
    <w:pPr>
      <w:jc w:val="center"/>
    </w:pPr>
    <w:rPr>
      <w:sz w:val="28"/>
    </w:rPr>
  </w:style>
  <w:style w:type="character" w:customStyle="1" w:styleId="TytuZnak">
    <w:name w:val="Tytuł Znak"/>
    <w:basedOn w:val="Domylnaczcionkaakapitu"/>
    <w:link w:val="Tytu"/>
    <w:rsid w:val="00721D78"/>
    <w:rPr>
      <w:rFonts w:ascii="Times New Roman" w:eastAsia="Times New Roman" w:hAnsi="Times New Roman" w:cs="Times New Roman"/>
      <w:sz w:val="28"/>
      <w:szCs w:val="20"/>
      <w:lang w:eastAsia="pl-PL"/>
    </w:rPr>
  </w:style>
  <w:style w:type="paragraph" w:styleId="Nagwek">
    <w:name w:val="header"/>
    <w:basedOn w:val="Normalny"/>
    <w:link w:val="NagwekZnak"/>
    <w:uiPriority w:val="99"/>
    <w:unhideWhenUsed/>
    <w:rsid w:val="00721D78"/>
    <w:pPr>
      <w:tabs>
        <w:tab w:val="center" w:pos="4536"/>
        <w:tab w:val="right" w:pos="9072"/>
      </w:tabs>
    </w:pPr>
  </w:style>
  <w:style w:type="character" w:customStyle="1" w:styleId="NagwekZnak">
    <w:name w:val="Nagłówek Znak"/>
    <w:basedOn w:val="Domylnaczcionkaakapitu"/>
    <w:link w:val="Nagwek"/>
    <w:uiPriority w:val="99"/>
    <w:rsid w:val="00721D78"/>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721D78"/>
    <w:pPr>
      <w:tabs>
        <w:tab w:val="center" w:pos="4536"/>
        <w:tab w:val="right" w:pos="9072"/>
      </w:tabs>
    </w:pPr>
  </w:style>
  <w:style w:type="character" w:customStyle="1" w:styleId="StopkaZnak">
    <w:name w:val="Stopka Znak"/>
    <w:basedOn w:val="Domylnaczcionkaakapitu"/>
    <w:link w:val="Stopka"/>
    <w:uiPriority w:val="99"/>
    <w:rsid w:val="00721D78"/>
    <w:rPr>
      <w:rFonts w:ascii="Times New Roman" w:eastAsia="Times New Roman" w:hAnsi="Times New Roman" w:cs="Times New Roman"/>
      <w:sz w:val="20"/>
      <w:szCs w:val="20"/>
      <w:lang w:eastAsia="pl-PL"/>
    </w:rPr>
  </w:style>
  <w:style w:type="character" w:customStyle="1" w:styleId="Nagwek1Znak">
    <w:name w:val="Nagłówek 1 Znak"/>
    <w:basedOn w:val="Domylnaczcionkaakapitu"/>
    <w:link w:val="Nagwek1"/>
    <w:uiPriority w:val="9"/>
    <w:rsid w:val="00BE6C50"/>
    <w:rPr>
      <w:rFonts w:asciiTheme="majorHAnsi" w:eastAsiaTheme="majorEastAsia" w:hAnsiTheme="majorHAnsi" w:cstheme="majorBidi"/>
      <w:color w:val="2E74B5" w:themeColor="accent1" w:themeShade="BF"/>
      <w:sz w:val="32"/>
      <w:szCs w:val="32"/>
      <w:lang w:eastAsia="pl-PL"/>
    </w:rPr>
  </w:style>
  <w:style w:type="paragraph" w:styleId="Nagwekspisutreci">
    <w:name w:val="TOC Heading"/>
    <w:basedOn w:val="Nagwek1"/>
    <w:next w:val="Normalny"/>
    <w:uiPriority w:val="39"/>
    <w:unhideWhenUsed/>
    <w:qFormat/>
    <w:rsid w:val="00BE6C50"/>
    <w:pPr>
      <w:spacing w:line="259" w:lineRule="auto"/>
      <w:outlineLvl w:val="9"/>
    </w:pPr>
  </w:style>
  <w:style w:type="paragraph" w:styleId="Spistreci3">
    <w:name w:val="toc 3"/>
    <w:basedOn w:val="Normalny"/>
    <w:next w:val="Normalny"/>
    <w:autoRedefine/>
    <w:uiPriority w:val="39"/>
    <w:unhideWhenUsed/>
    <w:rsid w:val="00BE6C5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rlen.pl/en" TargetMode="Externa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gov.pl/web/klimat/polityka-energetyczna-polski" TargetMode="Externa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ziennikustaw.gov.pl/D2021000093501.pdf" TargetMode="External"/><Relationship Id="rId5" Type="http://schemas.openxmlformats.org/officeDocument/2006/relationships/footnotes" Target="footnotes.xml"/><Relationship Id="rId15" Type="http://schemas.openxmlformats.org/officeDocument/2006/relationships/image" Target="media/image3.JPG"/><Relationship Id="rId10" Type="http://schemas.openxmlformats.org/officeDocument/2006/relationships/hyperlink" Target="https://www.gov.pl/web/morska-energetyka-wiatrowa/plan-zagospodarowania-przestrzennego-polskich-obszarow-morskich"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neptun.orlen.pl/pl/o-spolce/inwestycje/Baltic-East" TargetMode="External"/><Relationship Id="rId14" Type="http://schemas.openxmlformats.org/officeDocument/2006/relationships/hyperlink" Target="https://isap.sejm.gov.pl/isap.nsf/DocDetails.xsp?id=WDU2021000023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10</Pages>
  <Words>2516</Words>
  <Characters>15100</Characters>
  <Application>Microsoft Office Word</Application>
  <DocSecurity>0</DocSecurity>
  <Lines>125</Lines>
  <Paragraphs>35</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17581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Jędraszczyk Monika (NEP)</dc:creator>
  <cp:keywords/>
  <dc:description/>
  <cp:lastModifiedBy>Jędraszczyk Monika (NEP)</cp:lastModifiedBy>
  <cp:revision>7</cp:revision>
  <cp:lastPrinted>2025-07-11T11:35:00Z</cp:lastPrinted>
  <dcterms:created xsi:type="dcterms:W3CDTF">2025-07-07T15:40:00Z</dcterms:created>
  <dcterms:modified xsi:type="dcterms:W3CDTF">2025-08-14T11:45:00Z</dcterms:modified>
</cp:coreProperties>
</file>