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63084" w14:textId="77777777" w:rsidR="0043797D" w:rsidRPr="00C30CCB" w:rsidRDefault="0043797D" w:rsidP="003A4D01">
      <w:pPr>
        <w:spacing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C30CCB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OCHRONA INFORMACJI</w:t>
      </w:r>
      <w:r w:rsidR="00DD532D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 xml:space="preserve"> I DANE OSOBOWE</w:t>
      </w:r>
    </w:p>
    <w:p w14:paraId="25401DB5" w14:textId="77777777" w:rsidR="0043797D" w:rsidRPr="003A4D01" w:rsidRDefault="0043797D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27C075DB" w14:textId="77777777" w:rsidR="0043797D" w:rsidRPr="003A4D01" w:rsidRDefault="0043797D" w:rsidP="003A4D01">
      <w:pPr>
        <w:spacing w:line="276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I.</w:t>
      </w:r>
      <w:r w:rsid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   </w:t>
      </w: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Tajemnica Przedsiębiorstwa</w:t>
      </w:r>
    </w:p>
    <w:p w14:paraId="1D7628E1" w14:textId="2EEE140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</w:t>
      </w:r>
      <w:r w:rsidR="0056624C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zobowiązuje się do zachowania w tajemnicy informacji przekazanych  bezpośrednio lub pośrednio przez Zleceniodawcę (w jakiejkolwiek formie tj. w szczególności ustnej, pisemnej, elektronicznej), a także informacji uzyskanych przez Zleceniobiorcę w inny sposób w trakcie wzajemnej współpracy, w tym w związku z zaw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arciem i realizacją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mowy, które to informacje dotyczą bezpośrednio lub pośrednio Zleceniodawcy, spółek z Grupy Kapitałowej Zleceniodawcy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 spółek z Grupy Kapitałowej ORLEN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lub ich kontrah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entów, w tym treści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mowy. Strony przyjmują, że informacje techniczne, technologiczne, organizacyjne </w:t>
      </w:r>
      <w:r w:rsidR="0035731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przedsiębiorstwa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co do których Zleceniodawca, jako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podmiot</w:t>
      </w:r>
      <w:r w:rsidRPr="003A4D01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uprawniony do korzystania z ww. informacji i rozporządzania nimi podjął, przy zachowaniu należytej staranności, działania w celu utrzymania ich w poufności, przekazane przez Zleceniodawcę lub w jego imieniu lub uzyskane przez Zleceniobiorcę w inny sposób w trakcie negocjowania, zaw</w:t>
      </w:r>
      <w:r w:rsidR="00FE063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arcia i wykonywania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należy traktować jako tajemnicę przedsiębiorstwa w rozumieniu ustawy z dnia 16 kwietnia 1993 roku o zwal</w:t>
      </w:r>
      <w:r w:rsidR="0011296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czaniu nieuczciwej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(dalej: „Tajemnica Przedsiębiorstwa”), chyba że w chwili przekazania, osoba przekazująca określi na piśmie lub w formie elektronicznej odmienny, od </w:t>
      </w:r>
      <w:r w:rsidR="00993333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wskazanego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powyżej, charakter takich informacji.</w:t>
      </w:r>
    </w:p>
    <w:p w14:paraId="590AFCCE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Przez zobowiązanie do zachowania w tajemnicy informacji wskazanych w ust. 1 powyżej, Strony rozumieją zakaz wykorzystywania, ujawniania oraz przekazywania tych informacji w jakikolwiek sposób oraz jakimkolwiek osobom trzecim, za wyjątkiem następujących sytuacji:</w:t>
      </w:r>
    </w:p>
    <w:p w14:paraId="1591461A" w14:textId="6C32BED4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ujawnienie lub wykorzystanie informacji jest konieczne do pra</w:t>
      </w:r>
      <w:r w:rsidR="00656F64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widłowego wykonania niniejszej Umowy i zgodne z tą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mową lub</w:t>
      </w:r>
    </w:p>
    <w:p w14:paraId="013B1011" w14:textId="6ECF9EB1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informacje w chwili ich ujawnienia są już publicznie dostępne, a ich ujawnienie zostało dokonane przez Zleceniodawcę lub za jego zgodą lub w sposób inny niż poprzez niezgodne z prawem lub jakąkolwiek umową działanie lub zaniechanie lub</w:t>
      </w:r>
    </w:p>
    <w:p w14:paraId="51E40DA1" w14:textId="7BFD689E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został zobowiązany do ujawnienia informacji przez sąd lub uprawniony organ</w:t>
      </w:r>
      <w:r w:rsidR="00A07F82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lub</w:t>
      </w:r>
      <w:r w:rsidR="00993333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Zleceniobiorca ma prawny obowiązek ujawnienia informacji,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 zastrzeżeniem, że</w:t>
      </w:r>
      <w:r w:rsidR="00CC0B3A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w takich przypadkach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niezwłocznie pisemnie poinformuje Zleceniodawcę o obowiązku ujawniania informacji i ich zakresie, a także </w:t>
      </w:r>
      <w:r w:rsidR="0072765F"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miarę możliwości </w:t>
      </w:r>
      <w:r w:rsidR="0072765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uwzględni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rekomendacje Zleceniodawcy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14:paraId="34EBAED5" w14:textId="77777777" w:rsidR="0043797D" w:rsidRPr="003A4D01" w:rsidRDefault="0043797D" w:rsidP="003A4D01">
      <w:pPr>
        <w:pStyle w:val="Akapitzlist"/>
        <w:numPr>
          <w:ilvl w:val="1"/>
          <w:numId w:val="2"/>
        </w:numPr>
        <w:spacing w:line="276" w:lineRule="auto"/>
        <w:ind w:left="851" w:hanging="425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Zleceniodawca wyraził Zleceniobiorcy pisemną zgodę na ujawnienie lub wykorzystanie informacji w określonym celu, we wskazany przez Zleceniodawcę sposób.</w:t>
      </w:r>
    </w:p>
    <w:p w14:paraId="509F0269" w14:textId="47CE9E7C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zobowiązany jest przedsięwziąć takie środki bezpieczeństwa i sposoby postępowania, jakie będą odpowiednie i wystarczające dla zapewnienia bezpieczne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go, w tym zgodnego z niniejszą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mową i przepisami prawa, przetwarzania Tajemnicy Przedsiębiorstwa, aby zapobiec jakiemukolwiek nieautoryzowanemu wykorzystaniu, przekazaniu, ujawnieniu, czy dostępowi do tych inform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acji. Zleceniobiorca nie będzie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w szczególności kopiował lub utrwalał Tajemnicy Przedsiębiorstwa, jeżeli nie będzie to uzasadnione należytym wykonaniem przez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Zleceniobiorcę niniejszej </w:t>
      </w:r>
      <w:r w:rsidR="00CC0B3A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mowy. Zleceniobiorca zobowiązany jest do niezwłocznego powiadomienia Zleceniodawcy o zaistniałych naruszeniach zasad ochrony lub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nieuprawnionym ujawnieniu lub wykorzystaniu Tajemnicy Przedsiębiorstwa przetwarzanej w związku z realizacją niniejszej </w:t>
      </w:r>
      <w:r w:rsidR="00963F9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</w:t>
      </w:r>
    </w:p>
    <w:p w14:paraId="7F2C5899" w14:textId="420884CC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Obowiązek zachowania w tajemnicy informacji, o których mowa w ust. 1 powyżej rozciąga się również na pracowników Zleceniobiorcy i inne osoby, w tym w szczególności audytorów, doradców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>i podwykonawców, którym Zleceniobiorca udostępni takie informacje. Zleceniobiorca zobowiązany jest do zobowiązania na piśmie ww. osób do ochrony Tajemnic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y Przedsiębiorstwa na warunkach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co najmniej tak</w:t>
      </w:r>
      <w:r w:rsidR="00A84C1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ich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A84C1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jak określone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mowie. Zleceniobiorca ponosi pełną odpowiedzialność za działania lub zaniechania osób, które uzyskały dostęp do Tajemnicy Przedsiębiorstwa, w tym odpowiedzialność o której mowa w ust. 8. </w:t>
      </w:r>
    </w:p>
    <w:p w14:paraId="634FD958" w14:textId="77777777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Zleceniobiorca zobowiązany jest na każde żądanie Zleceniodawcy, w terminie nie dłuższym niż 5 dni, przesłać Zleceniodawcy listę osób i podmiotów, które za pośrednictwem Zleceniobiorcy uzyskały dostęp do Tajemnicy Przedsiębiorstwa. Niewywiązanie się z obowiązku, o którym mowa w niniejszym ustępie będzie traktowane jako nieuprawnione ujawnienie Tajemnicy Przedsiębiorstwa skutkujące odpowiedzialnością, o której mowa w ust. 8. </w:t>
      </w:r>
    </w:p>
    <w:p w14:paraId="0951F73D" w14:textId="0C5863CB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Zobowiązanie do zachowania w tajemnicy informacji wiąże w c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zasie obowiązywania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mowy, jak również w okresie 10 lat po jej rozwiązaniu, wygaśnięciu lub uchyleniu bądź zniweczeniu skutków prawnych. Jeżeli mimo upływu, wskazanego w zdaniu poprzednim, okresu och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rony Tajemnicy Przedsiębiorstwa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informacje te nadal 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będą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podlega</w:t>
      </w:r>
      <w:r w:rsidR="0075467F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ły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ochronie w oparciu o wewnętrzne regulacje lub decyzje Zleceniodawcy lub w oparciu o szczególne przepisy prawa, Zleceniodawca powiadomi Zleceniobiorcę na piśmie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 o przedłużeniu okresu ochrony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o dodatkowy wskazany przez Zleceniodawcę okres (nie dłuższy jednak niż 10 lat), na co Zleceniobiorca niniejszym wyraża zgodę. Powiadomienie, o którym mowa w zdaniu powyższym nastąpi przed wygaśnięciem 10-cio letniego okresu ochrony, o którym mowa w zdaniu pierwszym niniejszego ustępu, nie później jednak niż na 10 dni roboczych przed zakończeniem obowiązywania powyższego zobowiązania. Strony zgodnie postanawiają, że zobowiązanie opisane w niniejszym ustępie obowiązuje niezależnie od rozwiązania, wygaśnięcia lub uchylenia bądź zniweczen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ia skutków prawnych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</w:t>
      </w:r>
    </w:p>
    <w:p w14:paraId="288692B6" w14:textId="324EBDEE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Nie później niż w terminie 3 dni roboczych po upływie okresu ochrony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o którym mowa w ust. 6 powyżej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Zleceniobiorca oraz wszelkie osoby, którym Zleceniobiorca przekazał Tajemnicę Przedsiębiorstwa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zobowiązane są zwrócić Zleceniodawcy lub zniszczyć wszelkie materiały 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ją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zawierające.</w:t>
      </w:r>
    </w:p>
    <w:p w14:paraId="4DB728C2" w14:textId="41D0DC15" w:rsidR="0043797D" w:rsidRPr="003A4D01" w:rsidRDefault="0043797D" w:rsidP="003A4D0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W przypadku nieuprawnionego wykorzystania, przekazania lub ujawnienia przez Zleceniobiorcę Tajemnicy Przedsiębiorstwa, Zleceniodawca uprawniony jest do żądania od Zleceniobiorcy zapłaty kary umownej w wysokości </w:t>
      </w:r>
      <w:r w:rsidR="0016259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25 000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zł (słownie:</w:t>
      </w:r>
      <w:r w:rsidR="0016259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="00162590" w:rsidRPr="0016259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dwadzieścia pięć tysięcy</w:t>
      </w:r>
      <w:r w:rsidR="00EE1036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złotych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) za każdy przypadek nieuprawnionego wykorzystania, przekazania lub ujawnienia ww. informacji. Zapłata kary umownej wskazanej powyżej nie ogranicza prawa Zleceniodawcy do dochodzenia od Zleceniobiorcy odszkodowania na zasadach ogólnych, w przypadku gdy wysokość poniesionej szkody przew</w:t>
      </w:r>
      <w:r w:rsidR="003F4A1E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yższa zastrzeżoną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mowie wysokość kary umownej. Powyższe nie wyłącza w żaden sposób innych sankcji i uprawnień Zleceniodawcy określonych w przepisach prawa, w tym w ustawie z dnia 16 kwietnia 1993 roku o zwalczaniu nie</w:t>
      </w:r>
      <w:r w:rsidR="0028685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uczciwej konkurencji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.</w:t>
      </w:r>
    </w:p>
    <w:p w14:paraId="06A36FC0" w14:textId="0F06BF1A" w:rsidR="0043797D" w:rsidRDefault="0043797D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W przypadku, gdy w</w:t>
      </w:r>
      <w:r w:rsidR="00144C55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trakcie realizacji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zaistnieje konieczności dostępu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lub przekazania Zleceniobiorcy w jakiejkolwiek formie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informacji stanowiących Tajemnicę Spółki ORLEN </w:t>
      </w:r>
      <w:r w:rsidR="00A3258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Południe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 rozumianej jako szczególnie chroniony rodzaj Tajemnicy Przedsiębiorstwa Zleceniodawcy, co do której podjęto szczególne działania określone w ak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tach wewnętrznych Zleceniodawcy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w celu zachowania jej w tajemnicy</w:t>
      </w:r>
      <w:r w:rsidR="00215AC8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,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i której wykorzystanie, przekazanie lub ujawnienie osobie nieuprawnionej w znacznym stopniu zagraża lub narusza interesy Zleceniodawcy, Zleceniobiorca zobowiązuje się do niezwłocznego zawarcia ze Zleceniodawcą, przed otrzymaniem i rozpoczęciem przetwarzania takich in</w:t>
      </w:r>
      <w:r w:rsidR="00144C55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formacji, aneksu do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mowy, zgodnego z wewnętrznymi aktami Zleceniodawcy, którego przedmiotem będą zasady i warunki ochrony Tajemnicy Spółki ORLEN </w:t>
      </w:r>
      <w:r w:rsidR="00A3258C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Południe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S.A.</w:t>
      </w:r>
    </w:p>
    <w:p w14:paraId="4702C0FD" w14:textId="3D3E3A64" w:rsidR="00A3258C" w:rsidRPr="00A3258C" w:rsidRDefault="00A3258C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A3258C">
        <w:rPr>
          <w:rFonts w:ascii="Arial" w:hAnsi="Arial" w:cs="Arial"/>
          <w:sz w:val="20"/>
          <w:szCs w:val="20"/>
        </w:rPr>
        <w:t xml:space="preserve">Zobowiązania i zasady ochrony informacji, o których </w:t>
      </w:r>
      <w:r w:rsidR="00215AC8">
        <w:rPr>
          <w:rFonts w:ascii="Arial" w:hAnsi="Arial" w:cs="Arial"/>
          <w:sz w:val="20"/>
          <w:szCs w:val="20"/>
        </w:rPr>
        <w:t>mowa w ustępach poprzedzających,</w:t>
      </w:r>
      <w:r w:rsidRPr="00A3258C">
        <w:rPr>
          <w:rFonts w:ascii="Arial" w:hAnsi="Arial" w:cs="Arial"/>
          <w:sz w:val="20"/>
          <w:szCs w:val="20"/>
        </w:rPr>
        <w:t xml:space="preserve"> nie dotyczą i nie ograniczają prawa Zleceniodawcy do ujawnienia przez Zleceniodawcę treści niniejszej Umowy oraz informacji i danych pozyskanych w związku z jej realizacją spółkom należącym do Grupy Kapitałowej ORLEN.</w:t>
      </w:r>
    </w:p>
    <w:p w14:paraId="4FB27224" w14:textId="77777777" w:rsidR="00A3258C" w:rsidRDefault="0043797D" w:rsidP="00A3258C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Dla uniknięcia wątpliwości Strony potwierdzają, że Zleceniobiorca, niezależnie od obowi</w:t>
      </w:r>
      <w:r w:rsidR="00E85A10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ązków określonych w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mowie, zobowiązany jest także do przestrzegania dodatkowych 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lastRenderedPageBreak/>
        <w:t>wymogów dotyczących ochrony określonych rodzajów informacji (np. danych osobowych, informacji poufnych) wynikających z obowiązujących przepisów prawa.</w:t>
      </w:r>
    </w:p>
    <w:p w14:paraId="0BD1ACD1" w14:textId="77777777" w:rsidR="00DD532D" w:rsidRPr="00DD532D" w:rsidRDefault="00DD532D" w:rsidP="008C5523">
      <w:pPr>
        <w:spacing w:before="120" w:after="60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II.</w:t>
      </w:r>
      <w:r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</w:t>
      </w:r>
      <w:r w:rsidRPr="000845D4">
        <w:rPr>
          <w:rStyle w:val="Uwydatnienie"/>
          <w:rFonts w:ascii="Arial" w:eastAsia="Times New Roman" w:hAnsi="Arial" w:cs="Arial"/>
          <w:b/>
          <w:i w:val="0"/>
          <w:iCs w:val="0"/>
          <w:color w:val="000000"/>
          <w:sz w:val="20"/>
          <w:szCs w:val="20"/>
        </w:rPr>
        <w:t>Dane osobowe</w:t>
      </w:r>
    </w:p>
    <w:p w14:paraId="05DF8A52" w14:textId="77777777" w:rsidR="00A3258C" w:rsidRPr="00D05939" w:rsidRDefault="00EC45D8" w:rsidP="00D05939">
      <w:pPr>
        <w:pStyle w:val="Akapitzlist"/>
        <w:numPr>
          <w:ilvl w:val="0"/>
          <w:numId w:val="4"/>
        </w:numPr>
        <w:spacing w:after="120" w:line="276" w:lineRule="auto"/>
        <w:ind w:left="425" w:hanging="425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D05939">
        <w:rPr>
          <w:rFonts w:ascii="Arial" w:eastAsia="Times New Roman" w:hAnsi="Arial" w:cs="Arial"/>
          <w:color w:val="000000"/>
          <w:sz w:val="20"/>
          <w:szCs w:val="20"/>
        </w:rPr>
        <w:t xml:space="preserve">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Umowy. </w:t>
      </w:r>
    </w:p>
    <w:p w14:paraId="6BCA2EB3" w14:textId="1D521092" w:rsidR="003A4D01" w:rsidRDefault="0043797D" w:rsidP="00D05939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</w:pP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Zleceniobiorca zobowiązany jest do wypełnienia, w imieniu Zleceniodawcy jako Administratora danych w rozumieniu obowiązujących przepisów prawa o ochronie danych osobowych, niezwłocznie, jednakże nie później niż w terminie 30 (trzydzieści) d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ni od dnia zawarcia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ze Zleceniodawcą, obowiązku informacyjnego  wobec osób fizycznych zatrudnionych przez Zleceniobiorcę lub współpracujących ze Zleceniobiorcą przy zawa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rciu lub realizacji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 - bez względu na podstawę prawną tej współpracy</w:t>
      </w:r>
      <w:r w:rsidR="00412DF8" w:rsidRPr="003A4D01">
        <w:rPr>
          <w:rFonts w:ascii="Arial" w:eastAsia="Times New Roman" w:hAnsi="Arial" w:cs="Arial"/>
          <w:color w:val="000000"/>
          <w:sz w:val="20"/>
          <w:szCs w:val="20"/>
        </w:rPr>
        <w:t>, w tym także członków organów Zleceniobiorcy, prokurentów lub pełnomocników reprezentujących Zleceniobiorcę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 - których dane osobowe udostępnione zostały Zleceniodawcy przez Zleceniobiorcę w związku z zawar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ciem lub realizacją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mowy. Obowiązek, o którym mowa w zdaniu poprzedzającym powinien zostać spełniony poprzez przekazanie tym osobom klauzuli informacyjnej stanowiące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j </w:t>
      </w:r>
      <w:r w:rsidR="00925DB9" w:rsidRPr="00FB3A1E">
        <w:rPr>
          <w:rStyle w:val="Uwydatnienie"/>
          <w:rFonts w:ascii="Arial" w:eastAsia="Times New Roman" w:hAnsi="Arial" w:cs="Arial"/>
          <w:b/>
          <w:bCs/>
          <w:i w:val="0"/>
          <w:iCs w:val="0"/>
          <w:color w:val="000000"/>
          <w:sz w:val="20"/>
          <w:szCs w:val="20"/>
        </w:rPr>
        <w:t xml:space="preserve">Załącznik nr </w:t>
      </w:r>
      <w:r w:rsidR="00FB3A1E" w:rsidRPr="00FB3A1E">
        <w:rPr>
          <w:rStyle w:val="Uwydatnienie"/>
          <w:rFonts w:ascii="Arial" w:eastAsia="Times New Roman" w:hAnsi="Arial" w:cs="Arial"/>
          <w:b/>
          <w:bCs/>
          <w:i w:val="0"/>
          <w:iCs w:val="0"/>
          <w:color w:val="000000"/>
          <w:sz w:val="20"/>
          <w:szCs w:val="20"/>
        </w:rPr>
        <w:t xml:space="preserve">8 </w:t>
      </w:r>
      <w:r w:rsidR="00925DB9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>do niniejszej U</w:t>
      </w:r>
      <w:r w:rsidRPr="003A4D01">
        <w:rPr>
          <w:rStyle w:val="Uwydatnienie"/>
          <w:rFonts w:ascii="Arial" w:eastAsia="Times New Roman" w:hAnsi="Arial" w:cs="Arial"/>
          <w:i w:val="0"/>
          <w:iCs w:val="0"/>
          <w:color w:val="000000"/>
          <w:sz w:val="20"/>
          <w:szCs w:val="20"/>
        </w:rPr>
        <w:t xml:space="preserve">mowy, przy jednoczesnym zachowaniu zasady rozliczalności. </w:t>
      </w:r>
    </w:p>
    <w:p w14:paraId="466E6ABC" w14:textId="0C9C8677" w:rsidR="0043797D" w:rsidRPr="00120398" w:rsidRDefault="0043797D" w:rsidP="003A4D01">
      <w:pPr>
        <w:pStyle w:val="Akapitzlist"/>
        <w:spacing w:line="276" w:lineRule="auto"/>
        <w:ind w:left="426"/>
        <w:rPr>
          <w:rFonts w:ascii="Arial" w:eastAsia="Times New Roman" w:hAnsi="Arial" w:cs="Arial"/>
          <w:color w:val="FF0000"/>
          <w:sz w:val="20"/>
          <w:szCs w:val="20"/>
        </w:rPr>
      </w:pPr>
    </w:p>
    <w:p w14:paraId="150182BE" w14:textId="77777777" w:rsidR="003A4D01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3A4D01">
        <w:rPr>
          <w:rFonts w:ascii="Arial" w:hAnsi="Arial" w:cs="Arial"/>
          <w:sz w:val="20"/>
          <w:szCs w:val="20"/>
        </w:rPr>
        <w:t>​</w:t>
      </w:r>
    </w:p>
    <w:p w14:paraId="760181B2" w14:textId="77777777" w:rsidR="0043797D" w:rsidRDefault="0043797D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62C5E879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51AA0BA6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716E964E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3B2D1CEB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58FB925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6A5D02E8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3B2F6DF5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23F10FEA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7533F2D8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21F2184A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6652B23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29D1C703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146C53FA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5D9125E7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1536C68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2359B6FC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58C62CB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42AC979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232C9274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63629AC1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68A74711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5F7C563D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28B565CE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31EEBF32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6ED56896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6255E842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117C17F2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4768FC8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C19669D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785FF37C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8C9DEB2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25F6575C" w14:textId="57732386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7DE3CE" wp14:editId="5ED3112F">
                <wp:simplePos x="0" y="0"/>
                <wp:positionH relativeFrom="column">
                  <wp:posOffset>230266</wp:posOffset>
                </wp:positionH>
                <wp:positionV relativeFrom="paragraph">
                  <wp:posOffset>169880</wp:posOffset>
                </wp:positionV>
                <wp:extent cx="5434462" cy="8583283"/>
                <wp:effectExtent l="0" t="0" r="33020" b="27940"/>
                <wp:wrapNone/>
                <wp:docPr id="147641680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4462" cy="85832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941E2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15pt,13.4pt" to="446.05pt,6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" strokecolor="black [3213]" strokeweight=".5pt">
                <v:stroke joinstyle="miter"/>
              </v:line>
            </w:pict>
          </mc:Fallback>
        </mc:AlternateContent>
      </w:r>
    </w:p>
    <w:p w14:paraId="797C7179" w14:textId="534AF09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B0AC0" wp14:editId="78086C9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67555" cy="0"/>
                <wp:effectExtent l="0" t="0" r="0" b="0"/>
                <wp:wrapNone/>
                <wp:docPr id="316475080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75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BAF31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46.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" strokecolor="black [3213]" strokeweight=".5pt">
                <v:stroke joinstyle="miter"/>
              </v:line>
            </w:pict>
          </mc:Fallback>
        </mc:AlternateContent>
      </w:r>
    </w:p>
    <w:p w14:paraId="2231B071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352B9C76" w14:textId="45289ED2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53E42966" w14:textId="20A43ADE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08D9CDFF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3E36DABE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172C7D4F" w14:textId="77777777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64F0142C" w14:textId="3A2EF99F" w:rsidR="004B18CA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</w:p>
    <w:p w14:paraId="42DE07F1" w14:textId="18C77AA6" w:rsidR="004B18CA" w:rsidRPr="003A4D01" w:rsidRDefault="004B18CA" w:rsidP="003A4D01">
      <w:pPr>
        <w:pStyle w:val="NormalnyWeb"/>
        <w:spacing w:before="0"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B8F8BD" wp14:editId="51E9AB27">
                <wp:simplePos x="0" y="0"/>
                <wp:positionH relativeFrom="column">
                  <wp:posOffset>2251494</wp:posOffset>
                </wp:positionH>
                <wp:positionV relativeFrom="paragraph">
                  <wp:posOffset>2803585</wp:posOffset>
                </wp:positionV>
                <wp:extent cx="1552635" cy="0"/>
                <wp:effectExtent l="0" t="0" r="0" b="0"/>
                <wp:wrapNone/>
                <wp:docPr id="1811481092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26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CD943A" id="Łącznik prosty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3pt,220.75pt" to="299.55pt,2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" strokecolor="black [3213]"/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1E3169" wp14:editId="73BCE0B3">
                <wp:simplePos x="0" y="0"/>
                <wp:positionH relativeFrom="column">
                  <wp:posOffset>229870</wp:posOffset>
                </wp:positionH>
                <wp:positionV relativeFrom="paragraph">
                  <wp:posOffset>7243133</wp:posOffset>
                </wp:positionV>
                <wp:extent cx="5667555" cy="0"/>
                <wp:effectExtent l="0" t="0" r="0" b="0"/>
                <wp:wrapNone/>
                <wp:docPr id="1610163729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75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FA31C8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1pt,570.35pt" to="464.35pt,5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" strokecolor="black [3213]" strokeweight=".5pt">
                <v:stroke joinstyle="miter"/>
              </v:line>
            </w:pict>
          </mc:Fallback>
        </mc:AlternateContent>
      </w:r>
    </w:p>
    <w:sectPr w:rsidR="004B18CA" w:rsidRPr="003A4D01" w:rsidSect="0032799E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52F76" w14:textId="77777777" w:rsidR="00A04BAC" w:rsidRDefault="00A04BAC" w:rsidP="00EE1036">
      <w:r>
        <w:separator/>
      </w:r>
    </w:p>
  </w:endnote>
  <w:endnote w:type="continuationSeparator" w:id="0">
    <w:p w14:paraId="70C6CF6D" w14:textId="77777777" w:rsidR="00A04BAC" w:rsidRDefault="00A04BAC" w:rsidP="00EE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54BB6" w14:textId="77777777" w:rsidR="00A04BAC" w:rsidRDefault="00A04BAC" w:rsidP="00EE1036">
      <w:r>
        <w:separator/>
      </w:r>
    </w:p>
  </w:footnote>
  <w:footnote w:type="continuationSeparator" w:id="0">
    <w:p w14:paraId="01C30920" w14:textId="77777777" w:rsidR="00A04BAC" w:rsidRDefault="00A04BAC" w:rsidP="00EE1036">
      <w:r>
        <w:continuationSeparator/>
      </w:r>
    </w:p>
  </w:footnote>
  <w:footnote w:id="1">
    <w:p w14:paraId="76348988" w14:textId="77777777" w:rsidR="0056624C" w:rsidRPr="0056624C" w:rsidRDefault="0056624C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56624C">
        <w:rPr>
          <w:rStyle w:val="Odwoanieprzypisudolnego"/>
          <w:rFonts w:ascii="Arial" w:hAnsi="Arial" w:cs="Arial"/>
          <w:i/>
        </w:rPr>
        <w:footnoteRef/>
      </w:r>
      <w:r w:rsidRPr="0056624C">
        <w:rPr>
          <w:rFonts w:ascii="Arial" w:hAnsi="Arial" w:cs="Arial"/>
          <w:i/>
          <w:sz w:val="16"/>
          <w:szCs w:val="16"/>
        </w:rPr>
        <w:t xml:space="preserve"> Zleceniobiorca – kontrahent ORLEN Południe S.A. będący stroną niniejszej Umowy, Zleceniodawca = ORLEN Południe S.A.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19630" w14:textId="53B8C2E9" w:rsidR="0032799E" w:rsidRDefault="0032799E">
    <w:pPr>
      <w:pStyle w:val="Nagwek"/>
    </w:pPr>
    <w:r>
      <w:t>Załącznik nr 7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E0301"/>
    <w:multiLevelType w:val="multilevel"/>
    <w:tmpl w:val="C65678E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="Calibri" w:eastAsia="Times New Roman" w:hAnsi="Calibri" w:cs="Tahom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25435D5"/>
    <w:multiLevelType w:val="hybridMultilevel"/>
    <w:tmpl w:val="DDA0E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D702F"/>
    <w:multiLevelType w:val="hybridMultilevel"/>
    <w:tmpl w:val="A4282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9673F"/>
    <w:multiLevelType w:val="multilevel"/>
    <w:tmpl w:val="F2E014D4"/>
    <w:lvl w:ilvl="0">
      <w:start w:val="1"/>
      <w:numFmt w:val="decimal"/>
      <w:lvlText w:val="%1."/>
      <w:lvlJc w:val="left"/>
      <w:pPr>
        <w:ind w:left="915" w:hanging="555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  <w:sz w:val="22"/>
      </w:rPr>
    </w:lvl>
  </w:abstractNum>
  <w:num w:numId="1" w16cid:durableId="1286504130">
    <w:abstractNumId w:val="1"/>
  </w:num>
  <w:num w:numId="2" w16cid:durableId="1414939009">
    <w:abstractNumId w:val="3"/>
  </w:num>
  <w:num w:numId="3" w16cid:durableId="12183982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69347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97D"/>
    <w:rsid w:val="000845D4"/>
    <w:rsid w:val="000D0B81"/>
    <w:rsid w:val="00112960"/>
    <w:rsid w:val="00120398"/>
    <w:rsid w:val="00144C55"/>
    <w:rsid w:val="00162590"/>
    <w:rsid w:val="00215AC8"/>
    <w:rsid w:val="00286859"/>
    <w:rsid w:val="00294640"/>
    <w:rsid w:val="002B2CED"/>
    <w:rsid w:val="0032799E"/>
    <w:rsid w:val="0035731C"/>
    <w:rsid w:val="003A4D01"/>
    <w:rsid w:val="003B2C9A"/>
    <w:rsid w:val="003F4A1E"/>
    <w:rsid w:val="00412DF8"/>
    <w:rsid w:val="0043797D"/>
    <w:rsid w:val="004B18CA"/>
    <w:rsid w:val="004D4D31"/>
    <w:rsid w:val="0056624C"/>
    <w:rsid w:val="00656F64"/>
    <w:rsid w:val="006A1973"/>
    <w:rsid w:val="00716353"/>
    <w:rsid w:val="0072765F"/>
    <w:rsid w:val="0075467F"/>
    <w:rsid w:val="00772C2B"/>
    <w:rsid w:val="007B472A"/>
    <w:rsid w:val="008C5523"/>
    <w:rsid w:val="009038F3"/>
    <w:rsid w:val="00925DB9"/>
    <w:rsid w:val="00963F98"/>
    <w:rsid w:val="00993333"/>
    <w:rsid w:val="009D505D"/>
    <w:rsid w:val="00A04BAC"/>
    <w:rsid w:val="00A07F82"/>
    <w:rsid w:val="00A3258C"/>
    <w:rsid w:val="00A84C16"/>
    <w:rsid w:val="00BB349C"/>
    <w:rsid w:val="00C30CCB"/>
    <w:rsid w:val="00C45EFD"/>
    <w:rsid w:val="00CC0B3A"/>
    <w:rsid w:val="00D05939"/>
    <w:rsid w:val="00D87FF4"/>
    <w:rsid w:val="00D956AB"/>
    <w:rsid w:val="00DD03F4"/>
    <w:rsid w:val="00DD532D"/>
    <w:rsid w:val="00E005EC"/>
    <w:rsid w:val="00E85A10"/>
    <w:rsid w:val="00EC45D8"/>
    <w:rsid w:val="00EE1036"/>
    <w:rsid w:val="00EF6C57"/>
    <w:rsid w:val="00F25689"/>
    <w:rsid w:val="00F6717C"/>
    <w:rsid w:val="00FB3A1E"/>
    <w:rsid w:val="00FE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F581"/>
  <w15:chartTrackingRefBased/>
  <w15:docId w15:val="{062C535B-72B8-4542-BA4C-DDEC1B101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97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3797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797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43797D"/>
    <w:rPr>
      <w:i/>
      <w:iCs/>
    </w:rPr>
  </w:style>
  <w:style w:type="character" w:styleId="Pogrubienie">
    <w:name w:val="Strong"/>
    <w:basedOn w:val="Domylnaczcionkaakapitu"/>
    <w:uiPriority w:val="22"/>
    <w:qFormat/>
    <w:rsid w:val="0043797D"/>
    <w:rPr>
      <w:b/>
      <w:bCs/>
    </w:rPr>
  </w:style>
  <w:style w:type="paragraph" w:styleId="Akapitzlist">
    <w:name w:val="List Paragraph"/>
    <w:basedOn w:val="Normalny"/>
    <w:uiPriority w:val="34"/>
    <w:qFormat/>
    <w:rsid w:val="002B2C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10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103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103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D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D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D31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D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D31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4D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4D31"/>
    <w:rPr>
      <w:rFonts w:ascii="Segoe UI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7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799E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7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799E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2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039AF-1E49-43A8-8156-3BB9EB5D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1426</Words>
  <Characters>8558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Karpowicz Klaudia (PKN)</dc:creator>
  <cp:keywords/>
  <dc:description/>
  <cp:lastModifiedBy>Hodur Tomasz (OPD)</cp:lastModifiedBy>
  <cp:revision>10</cp:revision>
  <dcterms:created xsi:type="dcterms:W3CDTF">2024-03-28T12:46:00Z</dcterms:created>
  <dcterms:modified xsi:type="dcterms:W3CDTF">2024-11-15T07:23:00Z</dcterms:modified>
</cp:coreProperties>
</file>