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bookmarkStart w:id="0" w:name="_GoBack"/>
      <w:bookmarkEnd w:id="0"/>
      <w:r w:rsidRPr="003D5F24">
        <w:rPr>
          <w:rFonts w:ascii="Arial Narrow" w:eastAsia="Times New Roman" w:hAnsi="Arial Narrow" w:cs="Arial"/>
          <w:lang w:eastAsia="pl-PL"/>
        </w:rPr>
        <w:br/>
      </w:r>
    </w:p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Załącznik …</w:t>
      </w:r>
    </w:p>
    <w:p w:rsidR="003D5F24" w:rsidRPr="003D5F24" w:rsidRDefault="003D5F24" w:rsidP="003D5F24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</w:p>
    <w:p w:rsidR="003D5F24" w:rsidRPr="003D5F24" w:rsidRDefault="003D5F24" w:rsidP="003D5F24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3D5F24" w:rsidRPr="003D5F24" w:rsidRDefault="003D5F24" w:rsidP="003D5F24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3D5F24" w:rsidRPr="003D5F24" w:rsidRDefault="003D5F24" w:rsidP="003D5F24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 </w:t>
      </w:r>
    </w:p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Na PKN ORLEN S.A, będącym podmiotem dominującym względem ORLEN Południe S.A.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3D5F24" w:rsidRPr="003D5F24" w:rsidRDefault="003D5F24" w:rsidP="003D5F24">
      <w:pPr>
        <w:pStyle w:val="Akapitzlist"/>
        <w:numPr>
          <w:ilvl w:val="0"/>
          <w:numId w:val="1"/>
        </w:num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ORLEN Południe S.A.  poinformuje drugą stronę umowy, iż w wyniku wykonywania zadań dla ORLEN Południe S.A. weszła ona w posiadanie informacji poufnej w rozumieniu rozporządzenia MAR, którą to informację PKN ORLEN S.A. przekaże niezwłocznie lub z opóźnieniem do publicznej wiadomości.</w:t>
      </w:r>
    </w:p>
    <w:p w:rsidR="003D5F24" w:rsidRPr="003D5F24" w:rsidRDefault="003D5F24" w:rsidP="003D5F24">
      <w:pPr>
        <w:pStyle w:val="Akapitzlist"/>
        <w:numPr>
          <w:ilvl w:val="0"/>
          <w:numId w:val="1"/>
        </w:num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3D5F24" w:rsidRPr="003D5F24" w:rsidRDefault="003D5F24" w:rsidP="003D5F24">
      <w:pPr>
        <w:pStyle w:val="Akapitzlist"/>
        <w:numPr>
          <w:ilvl w:val="0"/>
          <w:numId w:val="1"/>
        </w:num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Jeśli wystąpią okoliczności o których mowa w pkt. 1, to zgodnie art. 18 Rozporządzenia MAR:</w:t>
      </w:r>
    </w:p>
    <w:p w:rsidR="003D5F24" w:rsidRPr="003D5F24" w:rsidRDefault="003D5F24" w:rsidP="003D5F24">
      <w:pPr>
        <w:pStyle w:val="Akapitzlist"/>
        <w:numPr>
          <w:ilvl w:val="0"/>
          <w:numId w:val="2"/>
        </w:numPr>
        <w:spacing w:after="0" w:line="276" w:lineRule="auto"/>
        <w:ind w:left="993" w:hanging="284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3D5F24" w:rsidRPr="003D5F24" w:rsidRDefault="003D5F24" w:rsidP="003D5F24">
      <w:pPr>
        <w:pStyle w:val="Akapitzlist"/>
        <w:numPr>
          <w:ilvl w:val="0"/>
          <w:numId w:val="2"/>
        </w:numPr>
        <w:spacing w:after="0" w:line="276" w:lineRule="auto"/>
        <w:ind w:left="993" w:hanging="284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 </w:t>
      </w:r>
    </w:p>
    <w:p w:rsidR="003D5F24" w:rsidRPr="003D5F24" w:rsidRDefault="003D5F24" w:rsidP="003D5F24">
      <w:pPr>
        <w:pStyle w:val="Akapitzlist"/>
        <w:numPr>
          <w:ilvl w:val="0"/>
          <w:numId w:val="2"/>
        </w:numPr>
        <w:spacing w:after="0" w:line="276" w:lineRule="auto"/>
        <w:ind w:left="993" w:hanging="284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Druga strona umowy będzie zobowiązana do niezwłocznej aktualizacji listy, ściśle według art. 18 ust.4 Rozporządzenia MAR.</w:t>
      </w:r>
    </w:p>
    <w:p w:rsidR="003D5F24" w:rsidRPr="003D5F24" w:rsidRDefault="003D5F24" w:rsidP="003D5F24">
      <w:pPr>
        <w:pStyle w:val="Akapitzlist"/>
        <w:numPr>
          <w:ilvl w:val="0"/>
          <w:numId w:val="2"/>
        </w:numPr>
        <w:spacing w:after="0" w:line="276" w:lineRule="auto"/>
        <w:ind w:left="993" w:hanging="284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:rsidR="003D5F24" w:rsidRPr="003D5F24" w:rsidRDefault="003D5F24" w:rsidP="003D5F24">
      <w:pPr>
        <w:pStyle w:val="Akapitzlist"/>
        <w:numPr>
          <w:ilvl w:val="0"/>
          <w:numId w:val="2"/>
        </w:numPr>
        <w:spacing w:after="0" w:line="276" w:lineRule="auto"/>
        <w:ind w:left="993" w:hanging="284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Druga strona umowy przedstawi listę osób mających dostęp do informacji poufnych Komisji Nadzoru Finansowego jeśli organ ten wystąpi do niej z takim żądaniem. </w:t>
      </w:r>
    </w:p>
    <w:p w:rsidR="003D5F24" w:rsidRPr="003D5F24" w:rsidRDefault="003D5F24" w:rsidP="003D5F24">
      <w:pPr>
        <w:pStyle w:val="Akapitzlist"/>
        <w:numPr>
          <w:ilvl w:val="0"/>
          <w:numId w:val="1"/>
        </w:numPr>
        <w:spacing w:after="0" w:line="276" w:lineRule="auto"/>
        <w:rPr>
          <w:rFonts w:ascii="Arial Narrow" w:eastAsia="Times New Roman" w:hAnsi="Arial Narrow" w:cs="Arial"/>
          <w:lang w:eastAsia="pl-PL"/>
        </w:rPr>
      </w:pPr>
      <w:r w:rsidRPr="003D5F24">
        <w:rPr>
          <w:rFonts w:ascii="Arial Narrow" w:eastAsia="Times New Roman" w:hAnsi="Arial Narrow" w:cs="Arial"/>
          <w:lang w:eastAsia="pl-PL"/>
        </w:rPr>
        <w:t>Format listy osób mających dostęp do informacji poufnych określa Rozporządzenie Wykonawcze Komisji (UE) 2016/347 z dnia 10 marca 2016 r. ustanawiające wykonawcze standardy techniczne w odniesieniu do określonego formatu list osób mających dostęp do informacji poufnych i ich aktualizacji zgodnie z rozporządzeniem Parlamentu Europejskiego i Rady (UE) nr 596/2014.</w:t>
      </w:r>
    </w:p>
    <w:p w:rsidR="003D5F24" w:rsidRDefault="003D5F24" w:rsidP="003D5F24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:rsidR="003D5F24" w:rsidRPr="003D5F24" w:rsidRDefault="003D5F24" w:rsidP="003D5F24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:rsidR="003D5F24" w:rsidRPr="003D5F24" w:rsidRDefault="003D5F24" w:rsidP="003D5F24">
      <w:pPr>
        <w:spacing w:after="0" w:line="240" w:lineRule="auto"/>
        <w:rPr>
          <w:rFonts w:ascii="Arial" w:eastAsia="Times New Roman" w:hAnsi="Arial" w:cs="Arial"/>
          <w:color w:val="444444"/>
          <w:sz w:val="21"/>
          <w:szCs w:val="21"/>
          <w:lang w:eastAsia="pl-PL"/>
        </w:rPr>
      </w:pPr>
    </w:p>
    <w:p w:rsidR="008A1AFC" w:rsidRDefault="008A1AFC"/>
    <w:sectPr w:rsidR="008A1A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39" w:rsidRDefault="006F4539" w:rsidP="006F4539">
      <w:pPr>
        <w:spacing w:after="0" w:line="240" w:lineRule="auto"/>
      </w:pPr>
      <w:r>
        <w:separator/>
      </w:r>
    </w:p>
  </w:endnote>
  <w:endnote w:type="continuationSeparator" w:id="0">
    <w:p w:rsidR="006F4539" w:rsidRDefault="006F4539" w:rsidP="006F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39" w:rsidRDefault="006F4539" w:rsidP="006F4539">
      <w:pPr>
        <w:spacing w:after="0" w:line="240" w:lineRule="auto"/>
      </w:pPr>
      <w:r>
        <w:separator/>
      </w:r>
    </w:p>
  </w:footnote>
  <w:footnote w:type="continuationSeparator" w:id="0">
    <w:p w:rsidR="006F4539" w:rsidRDefault="006F4539" w:rsidP="006F4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39" w:rsidRPr="003D5F24" w:rsidRDefault="006F4539" w:rsidP="006F4539">
    <w:pPr>
      <w:spacing w:after="0" w:line="276" w:lineRule="auto"/>
      <w:jc w:val="both"/>
      <w:rPr>
        <w:rFonts w:ascii="Arial Narrow" w:eastAsia="Times New Roman" w:hAnsi="Arial Narrow" w:cs="Arial"/>
        <w:i/>
        <w:lang w:eastAsia="pl-PL"/>
      </w:rPr>
    </w:pPr>
    <w:r w:rsidRPr="003D5F24">
      <w:rPr>
        <w:rFonts w:ascii="Arial Narrow" w:eastAsia="Times New Roman" w:hAnsi="Arial Narrow" w:cs="Arial"/>
        <w:b/>
        <w:bCs/>
        <w:i/>
        <w:lang w:eastAsia="pl-PL"/>
      </w:rPr>
      <w:t>KLAUZULA NR 3: </w:t>
    </w:r>
    <w:r w:rsidRPr="003D5F24">
      <w:rPr>
        <w:rFonts w:ascii="Arial Narrow" w:eastAsia="Times New Roman" w:hAnsi="Arial Narrow" w:cs="Arial"/>
        <w:i/>
        <w:lang w:eastAsia="pl-PL"/>
      </w:rPr>
      <w:t>Drugą stroną umowy są takie podmioty jak: doradcy, księgowi, audytorzy, firmy konsultingowe, agencje ratingowe, tłumacze, graficy, firmy i instytuty badawcze, firmy projektowe i inne osoby określone w rozporządzeniu MAR jako: pracujące dla PKN ORLEN S.A. na podstawie innych umów niż umowa o pracę.</w:t>
    </w:r>
  </w:p>
  <w:p w:rsidR="006F4539" w:rsidRPr="003D5F24" w:rsidRDefault="006F4539" w:rsidP="006F4539">
    <w:pPr>
      <w:spacing w:after="0" w:line="276" w:lineRule="auto"/>
      <w:jc w:val="both"/>
      <w:rPr>
        <w:rFonts w:ascii="Arial Narrow" w:eastAsia="Times New Roman" w:hAnsi="Arial Narrow" w:cs="Arial"/>
        <w:i/>
        <w:lang w:eastAsia="pl-PL"/>
      </w:rPr>
    </w:pPr>
    <w:r w:rsidRPr="003D5F24">
      <w:rPr>
        <w:rFonts w:ascii="Arial Narrow" w:eastAsia="Times New Roman" w:hAnsi="Arial Narrow" w:cs="Arial"/>
        <w:i/>
        <w:lang w:eastAsia="pl-PL"/>
      </w:rPr>
      <w:t>Klauzulę należy również zastosować w dokumentach OWZ/SzWZ, jeśli dotyczą one umów z wyżej wymienionymi podmiotami.</w:t>
    </w:r>
  </w:p>
  <w:p w:rsidR="006F4539" w:rsidRDefault="006F4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91257"/>
    <w:multiLevelType w:val="hybridMultilevel"/>
    <w:tmpl w:val="D54C82F0"/>
    <w:lvl w:ilvl="0" w:tplc="C8282D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44370"/>
    <w:multiLevelType w:val="hybridMultilevel"/>
    <w:tmpl w:val="F04AF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A3D9B"/>
    <w:multiLevelType w:val="hybridMultilevel"/>
    <w:tmpl w:val="2DD23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76F71"/>
    <w:multiLevelType w:val="hybridMultilevel"/>
    <w:tmpl w:val="F04AF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3183C"/>
    <w:multiLevelType w:val="hybridMultilevel"/>
    <w:tmpl w:val="F04AF3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24"/>
    <w:rsid w:val="002F69DE"/>
    <w:rsid w:val="003D5F24"/>
    <w:rsid w:val="006F4539"/>
    <w:rsid w:val="008A1AFC"/>
    <w:rsid w:val="0090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5DAE6-CBB5-4429-A157-76600831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D5F2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3D5F24"/>
    <w:rPr>
      <w:color w:val="0000FF"/>
      <w:u w:val="single"/>
    </w:rPr>
  </w:style>
  <w:style w:type="character" w:customStyle="1" w:styleId="ms-rtefontsize-2">
    <w:name w:val="ms-rtefontsize-2"/>
    <w:basedOn w:val="Domylnaczcionkaakapitu"/>
    <w:rsid w:val="003D5F24"/>
  </w:style>
  <w:style w:type="paragraph" w:styleId="Akapitzlist">
    <w:name w:val="List Paragraph"/>
    <w:basedOn w:val="Normalny"/>
    <w:uiPriority w:val="34"/>
    <w:qFormat/>
    <w:rsid w:val="003D5F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4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4539"/>
  </w:style>
  <w:style w:type="paragraph" w:styleId="Stopka">
    <w:name w:val="footer"/>
    <w:basedOn w:val="Normalny"/>
    <w:link w:val="StopkaZnak"/>
    <w:uiPriority w:val="99"/>
    <w:unhideWhenUsed/>
    <w:rsid w:val="006F4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Kloc Maksymilian (OPD)</cp:lastModifiedBy>
  <cp:revision>2</cp:revision>
  <dcterms:created xsi:type="dcterms:W3CDTF">2021-06-30T10:38:00Z</dcterms:created>
  <dcterms:modified xsi:type="dcterms:W3CDTF">2021-06-30T10:38:00Z</dcterms:modified>
</cp:coreProperties>
</file>