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B4654" w14:textId="77777777" w:rsidR="000F08AF" w:rsidRPr="009908D5" w:rsidRDefault="000F08AF" w:rsidP="000F08AF">
      <w:pPr>
        <w:pStyle w:val="Teksttreci20"/>
        <w:tabs>
          <w:tab w:val="left" w:pos="7195"/>
          <w:tab w:val="left" w:leader="dot" w:pos="7555"/>
        </w:tabs>
        <w:spacing w:after="120"/>
        <w:rPr>
          <w:rFonts w:ascii="Arial" w:hAnsi="Arial" w:cs="Arial"/>
          <w:bCs w:val="0"/>
          <w:sz w:val="20"/>
          <w:szCs w:val="20"/>
        </w:rPr>
      </w:pPr>
      <w:r w:rsidRPr="009908D5">
        <w:rPr>
          <w:rFonts w:ascii="Arial" w:hAnsi="Arial" w:cs="Arial"/>
          <w:sz w:val="20"/>
          <w:szCs w:val="20"/>
          <w:shd w:val="clear" w:color="auto" w:fill="FFFFFF"/>
        </w:rPr>
        <w:t xml:space="preserve">ZAŁĄCZNIK NR </w:t>
      </w:r>
      <w:r w:rsidR="00FF0C9B" w:rsidRPr="009908D5">
        <w:rPr>
          <w:rFonts w:ascii="Arial" w:hAnsi="Arial" w:cs="Arial"/>
          <w:sz w:val="20"/>
          <w:szCs w:val="20"/>
          <w:shd w:val="clear" w:color="auto" w:fill="FFFFFF"/>
        </w:rPr>
        <w:t>2.C.2</w:t>
      </w:r>
      <w:r w:rsidRPr="009908D5">
        <w:rPr>
          <w:rFonts w:ascii="Arial" w:hAnsi="Arial" w:cs="Arial"/>
          <w:sz w:val="20"/>
          <w:szCs w:val="20"/>
          <w:shd w:val="clear" w:color="auto" w:fill="FFFFFF"/>
        </w:rPr>
        <w:t xml:space="preserve"> - Wytyczne odnośnie bezpiecznego mocowania ładunków w transporcie drogowym</w:t>
      </w:r>
      <w:r w:rsidRPr="009908D5">
        <w:rPr>
          <w:rFonts w:ascii="Arial" w:hAnsi="Arial" w:cs="Arial"/>
          <w:b w:val="0"/>
          <w:bCs w:val="0"/>
          <w:sz w:val="20"/>
          <w:szCs w:val="20"/>
        </w:rPr>
        <w:tab/>
      </w:r>
    </w:p>
    <w:p w14:paraId="4265DD28" w14:textId="77777777" w:rsidR="000F08AF" w:rsidRPr="009908D5" w:rsidRDefault="000F08AF" w:rsidP="000F08AF">
      <w:pPr>
        <w:pStyle w:val="Default"/>
        <w:rPr>
          <w:sz w:val="20"/>
          <w:szCs w:val="20"/>
        </w:rPr>
      </w:pPr>
    </w:p>
    <w:p w14:paraId="58E21CCC" w14:textId="77777777" w:rsidR="000F08AF" w:rsidRPr="009908D5" w:rsidRDefault="000F08AF" w:rsidP="000F08AF">
      <w:pPr>
        <w:pStyle w:val="Default"/>
        <w:rPr>
          <w:b/>
          <w:bCs/>
          <w:sz w:val="20"/>
          <w:szCs w:val="20"/>
        </w:rPr>
      </w:pPr>
      <w:r w:rsidRPr="009908D5">
        <w:rPr>
          <w:sz w:val="20"/>
          <w:szCs w:val="20"/>
        </w:rPr>
        <w:t xml:space="preserve"> </w:t>
      </w:r>
      <w:r w:rsidRPr="009908D5">
        <w:rPr>
          <w:b/>
          <w:bCs/>
          <w:sz w:val="20"/>
          <w:szCs w:val="20"/>
        </w:rPr>
        <w:t xml:space="preserve">Wytyczne odnośnie bezpiecznego mocowania ładunków w transporcie drogowym </w:t>
      </w:r>
    </w:p>
    <w:p w14:paraId="7577B312" w14:textId="77777777" w:rsidR="000F08AF" w:rsidRPr="009908D5" w:rsidRDefault="000F08AF" w:rsidP="000F08AF">
      <w:pPr>
        <w:pStyle w:val="Default"/>
        <w:jc w:val="both"/>
        <w:rPr>
          <w:sz w:val="20"/>
          <w:szCs w:val="20"/>
        </w:rPr>
      </w:pPr>
      <w:r w:rsidRPr="009908D5">
        <w:rPr>
          <w:sz w:val="20"/>
          <w:szCs w:val="20"/>
        </w:rPr>
        <w:t xml:space="preserve">Pojazd i/lub kontener powinny być wyposażone w elementy ułatwiające mocowanie towarów i manipulowanie nimi. Sztuki przesyłek muszą być umocowane przy użyciu odpowiednich urządzeń (np. pasów spinających, burt przesuwanych lub przegród nastawnych), umożliwiających ich unieruchomienie w pojeździe lub w kontenerze w sposób zapobiegający takiemu ich przemieszczaniu podczas przewozu, które mogłoby spowodować zmianę ustawienia sztuk przesyłek lub ich uszkodzenie. Zleceniodawca obwiązuje tymi czynnościami Zleceniobiorcę. Przemieszczaniu sztuk przesyłek można również zapobiec poprzez wypełnienie wszystkich wolnych przestrzeni pomiędzy nimi przy użyciu przekładek lub poprzez blokowanie i usztywnianie sztuk przesyłek. W przypadku użycia elementów spinających, np. opasek lub pasów, należy unikać ich nadmiernego napinania, które mogłoby spowodować uszkodzenie lub deformację sztuki przesyłki. W przypadku transportu towarów niebezpiecznych, wymogi prawne ustanowione są w międzynarodowej umowie ADR. Stosownie do ADR mocowanie ładunków jest uważane za wystarczające, jeśli spełnia wymogi europejskiej normy EN 12195-1:2010. Te wytyczne bezpiecznego mocowania ładunków są oparte na prawach fizyki powiązanych z tarciem, dynamiką i wytrzymałością materiałów. Rozwiązania dla mocowania ładunków, siły i wytrzymałość konstrukcji nośnych, wymagania mocowania i osprzętu mogą być znalezione również w następujących normach ISO oraz EN: </w:t>
      </w:r>
    </w:p>
    <w:p w14:paraId="0C1DA823" w14:textId="77777777" w:rsidR="000F08AF" w:rsidRPr="009908D5" w:rsidRDefault="000F08AF" w:rsidP="000F08AF">
      <w:pPr>
        <w:pStyle w:val="Default"/>
        <w:jc w:val="both"/>
        <w:rPr>
          <w:sz w:val="20"/>
          <w:szCs w:val="20"/>
        </w:rPr>
      </w:pPr>
      <w:r w:rsidRPr="009908D5">
        <w:rPr>
          <w:sz w:val="20"/>
          <w:szCs w:val="20"/>
        </w:rPr>
        <w:t xml:space="preserve">• ISO 1496; ISO 1161 – ISO Kontenery </w:t>
      </w:r>
    </w:p>
    <w:p w14:paraId="68C7FE16" w14:textId="77777777" w:rsidR="000F08AF" w:rsidRPr="009908D5" w:rsidRDefault="000F08AF" w:rsidP="000F08AF">
      <w:pPr>
        <w:pStyle w:val="Default"/>
        <w:jc w:val="both"/>
        <w:rPr>
          <w:sz w:val="20"/>
          <w:szCs w:val="20"/>
        </w:rPr>
      </w:pPr>
      <w:r w:rsidRPr="009908D5">
        <w:rPr>
          <w:sz w:val="20"/>
          <w:szCs w:val="20"/>
        </w:rPr>
        <w:t xml:space="preserve">• EN 12195-1 – Obliczenia sił mocowania </w:t>
      </w:r>
    </w:p>
    <w:p w14:paraId="5B6B74BF" w14:textId="3501B918" w:rsidR="000F08AF" w:rsidRPr="009908D5" w:rsidRDefault="000F08AF" w:rsidP="009908D5">
      <w:pPr>
        <w:pStyle w:val="Default"/>
        <w:tabs>
          <w:tab w:val="left" w:pos="7563"/>
        </w:tabs>
        <w:jc w:val="both"/>
        <w:rPr>
          <w:sz w:val="20"/>
          <w:szCs w:val="20"/>
        </w:rPr>
      </w:pPr>
      <w:r w:rsidRPr="009908D5">
        <w:rPr>
          <w:sz w:val="20"/>
          <w:szCs w:val="20"/>
        </w:rPr>
        <w:t xml:space="preserve">• EN 12195-2 – Pasy mocujące ładunki </w:t>
      </w:r>
      <w:r w:rsidR="009908D5">
        <w:rPr>
          <w:sz w:val="20"/>
          <w:szCs w:val="20"/>
        </w:rPr>
        <w:tab/>
      </w:r>
    </w:p>
    <w:p w14:paraId="446AACA9" w14:textId="77777777" w:rsidR="000F08AF" w:rsidRPr="009908D5" w:rsidRDefault="000F08AF" w:rsidP="000F08AF">
      <w:pPr>
        <w:pStyle w:val="Default"/>
        <w:jc w:val="both"/>
        <w:rPr>
          <w:sz w:val="20"/>
          <w:szCs w:val="20"/>
        </w:rPr>
      </w:pPr>
      <w:r w:rsidRPr="009908D5">
        <w:rPr>
          <w:sz w:val="20"/>
          <w:szCs w:val="20"/>
        </w:rPr>
        <w:t xml:space="preserve">• EN 12195-3 – Odciągi łańcuchowe </w:t>
      </w:r>
    </w:p>
    <w:p w14:paraId="4B6EB11A" w14:textId="77777777" w:rsidR="000F08AF" w:rsidRPr="009908D5" w:rsidRDefault="000F08AF" w:rsidP="000F08AF">
      <w:pPr>
        <w:pStyle w:val="Default"/>
        <w:jc w:val="both"/>
        <w:rPr>
          <w:sz w:val="20"/>
          <w:szCs w:val="20"/>
        </w:rPr>
      </w:pPr>
      <w:r w:rsidRPr="009908D5">
        <w:rPr>
          <w:sz w:val="20"/>
          <w:szCs w:val="20"/>
        </w:rPr>
        <w:t xml:space="preserve">• EN 12195-4 – Liny stalowe mocujące </w:t>
      </w:r>
    </w:p>
    <w:p w14:paraId="708D06E3" w14:textId="77777777" w:rsidR="000F08AF" w:rsidRPr="009908D5" w:rsidRDefault="000F08AF" w:rsidP="000F08AF">
      <w:pPr>
        <w:pStyle w:val="Default"/>
        <w:jc w:val="both"/>
        <w:rPr>
          <w:sz w:val="20"/>
          <w:szCs w:val="20"/>
        </w:rPr>
      </w:pPr>
      <w:r w:rsidRPr="009908D5">
        <w:rPr>
          <w:sz w:val="20"/>
          <w:szCs w:val="20"/>
        </w:rPr>
        <w:t xml:space="preserve">• EN 12640 – Punkty mocowania </w:t>
      </w:r>
    </w:p>
    <w:p w14:paraId="6D4E2780" w14:textId="77777777" w:rsidR="000F08AF" w:rsidRPr="009908D5" w:rsidRDefault="000F08AF" w:rsidP="000F08AF">
      <w:pPr>
        <w:pStyle w:val="Default"/>
        <w:jc w:val="both"/>
        <w:rPr>
          <w:sz w:val="20"/>
          <w:szCs w:val="20"/>
        </w:rPr>
      </w:pPr>
      <w:r w:rsidRPr="009908D5">
        <w:rPr>
          <w:sz w:val="20"/>
          <w:szCs w:val="20"/>
        </w:rPr>
        <w:t xml:space="preserve">• EN 12641-1 – Nadwozia wymienne i pojazdy do przewozu towarów </w:t>
      </w:r>
    </w:p>
    <w:p w14:paraId="6A4E4F36" w14:textId="77777777" w:rsidR="000F08AF" w:rsidRPr="009908D5" w:rsidRDefault="000F08AF" w:rsidP="000F08AF">
      <w:pPr>
        <w:pStyle w:val="Default"/>
        <w:jc w:val="both"/>
        <w:rPr>
          <w:sz w:val="20"/>
          <w:szCs w:val="20"/>
        </w:rPr>
      </w:pPr>
      <w:r w:rsidRPr="009908D5">
        <w:rPr>
          <w:sz w:val="20"/>
          <w:szCs w:val="20"/>
        </w:rPr>
        <w:t xml:space="preserve">• EN 12641-2 – Nadwozia wymienne i pojazdy do ich przewozu </w:t>
      </w:r>
    </w:p>
    <w:p w14:paraId="5941B23E" w14:textId="77777777" w:rsidR="000F08AF" w:rsidRPr="009908D5" w:rsidRDefault="000F08AF" w:rsidP="000F08AF">
      <w:pPr>
        <w:pStyle w:val="Default"/>
        <w:jc w:val="both"/>
        <w:rPr>
          <w:sz w:val="20"/>
          <w:szCs w:val="20"/>
        </w:rPr>
      </w:pPr>
      <w:r w:rsidRPr="009908D5">
        <w:rPr>
          <w:sz w:val="20"/>
          <w:szCs w:val="20"/>
        </w:rPr>
        <w:t xml:space="preserve">• EN 12642 – Zabezpieczanie ładunków na pojazdach drogowych. Budowa pudeł pojazdów do przewozu towarów. Wymagania minimalne. </w:t>
      </w:r>
    </w:p>
    <w:p w14:paraId="485FD661" w14:textId="77777777" w:rsidR="000F08AF" w:rsidRPr="009908D5" w:rsidRDefault="000F08AF" w:rsidP="000F08AF">
      <w:pPr>
        <w:pStyle w:val="Default"/>
        <w:jc w:val="both"/>
        <w:rPr>
          <w:sz w:val="20"/>
          <w:szCs w:val="20"/>
        </w:rPr>
      </w:pPr>
      <w:r w:rsidRPr="009908D5">
        <w:rPr>
          <w:sz w:val="20"/>
          <w:szCs w:val="20"/>
        </w:rPr>
        <w:t xml:space="preserve">• EN 283 – Nadwozia wymienne. Badania </w:t>
      </w:r>
    </w:p>
    <w:p w14:paraId="1FB0299F" w14:textId="77777777" w:rsidR="000F08AF" w:rsidRPr="009908D5" w:rsidRDefault="000F08AF" w:rsidP="000F08AF">
      <w:pPr>
        <w:pStyle w:val="Default"/>
        <w:jc w:val="both"/>
        <w:rPr>
          <w:sz w:val="20"/>
          <w:szCs w:val="20"/>
        </w:rPr>
      </w:pPr>
      <w:r w:rsidRPr="009908D5">
        <w:rPr>
          <w:sz w:val="20"/>
          <w:szCs w:val="20"/>
        </w:rPr>
        <w:t xml:space="preserve">• EN 284 – Nadwozia wymienne. Nadwozia wymienne klasy C. Wymiary i wymagania ogólne </w:t>
      </w:r>
    </w:p>
    <w:p w14:paraId="44397F32" w14:textId="77777777" w:rsidR="000F08AF" w:rsidRPr="009908D5" w:rsidRDefault="000F08AF" w:rsidP="000F08AF">
      <w:pPr>
        <w:pStyle w:val="Default"/>
        <w:jc w:val="both"/>
        <w:rPr>
          <w:sz w:val="20"/>
          <w:szCs w:val="20"/>
        </w:rPr>
      </w:pPr>
      <w:r w:rsidRPr="009908D5">
        <w:rPr>
          <w:sz w:val="20"/>
          <w:szCs w:val="20"/>
        </w:rPr>
        <w:t xml:space="preserve">• ISO 27956 – Mocowanie ładunku w samochodach dostawczych. Wymogi i badania </w:t>
      </w:r>
    </w:p>
    <w:p w14:paraId="6CD1711C" w14:textId="77777777" w:rsidR="000F08AF" w:rsidRPr="009908D5" w:rsidRDefault="000F08AF" w:rsidP="000F08AF">
      <w:pPr>
        <w:pStyle w:val="Default"/>
        <w:jc w:val="both"/>
        <w:rPr>
          <w:sz w:val="20"/>
          <w:szCs w:val="20"/>
        </w:rPr>
      </w:pPr>
    </w:p>
    <w:p w14:paraId="39ED381B" w14:textId="77777777" w:rsidR="000F08AF" w:rsidRPr="009908D5" w:rsidRDefault="000F08AF" w:rsidP="000F08AF">
      <w:pPr>
        <w:pStyle w:val="Default"/>
        <w:jc w:val="both"/>
        <w:rPr>
          <w:sz w:val="20"/>
          <w:szCs w:val="20"/>
        </w:rPr>
      </w:pPr>
      <w:r w:rsidRPr="009908D5">
        <w:rPr>
          <w:sz w:val="20"/>
          <w:szCs w:val="20"/>
        </w:rPr>
        <w:t xml:space="preserve">Zleceniodawca obowiązuje Zleceniobiorcę do stosowania jedynie osprzętu z etykietami i czytelnie oznaczonego. Cały osprzęt do mocowania ładunków powinien być regularnie sprawdzany przez Zleceniobiorcę pod kątem jego zużycia lub uszkodzeń. Kontrola i eksploatacja powinna odbywać się zgodnie z instrukcjami producenta. Szczególna uwaga powinna być poświęcona pasom i linom w celu upewnienia się, że nie występują widoczne uszkodzenia takie jak rozwłóknienie splotki. Powinny one być również sprawdzane, aby upewnić się, czy nie zostały zanieczyszczone, przecięte lub uszkodzone przez niewłaściwe użycie co eliminuje je z dalszego użytkowania. </w:t>
      </w:r>
    </w:p>
    <w:p w14:paraId="5C8E443D" w14:textId="77777777" w:rsidR="000F08AF" w:rsidRPr="009908D5" w:rsidRDefault="000F08AF" w:rsidP="000F08AF">
      <w:pPr>
        <w:pStyle w:val="Default"/>
        <w:jc w:val="both"/>
        <w:rPr>
          <w:sz w:val="20"/>
          <w:szCs w:val="20"/>
        </w:rPr>
      </w:pPr>
      <w:r w:rsidRPr="009908D5">
        <w:rPr>
          <w:sz w:val="20"/>
          <w:szCs w:val="20"/>
        </w:rPr>
        <w:t xml:space="preserve">Na potrzebę transportu opakowanych wyrobów gotowych w opakowaniach miękkich charakteryzujących się ruchem falowym Zleceniodawca rekomenduje stosowanie dwóch technik mocowania ładunku tj.: </w:t>
      </w:r>
    </w:p>
    <w:p w14:paraId="58DCCF98" w14:textId="77777777" w:rsidR="000F08AF" w:rsidRPr="009908D5" w:rsidRDefault="000F08AF" w:rsidP="000F08AF">
      <w:pPr>
        <w:pStyle w:val="Default"/>
        <w:spacing w:after="80"/>
        <w:jc w:val="both"/>
        <w:rPr>
          <w:sz w:val="20"/>
          <w:szCs w:val="20"/>
        </w:rPr>
      </w:pPr>
      <w:r w:rsidRPr="009908D5">
        <w:rPr>
          <w:sz w:val="20"/>
          <w:szCs w:val="20"/>
        </w:rPr>
        <w:t xml:space="preserve"> Mocowanie za pomocą odciągów przepasujących ładunek od góry; </w:t>
      </w:r>
    </w:p>
    <w:p w14:paraId="2A14E897" w14:textId="77777777" w:rsidR="000F08AF" w:rsidRPr="009908D5" w:rsidRDefault="000F08AF" w:rsidP="000F08AF">
      <w:pPr>
        <w:pStyle w:val="Default"/>
        <w:jc w:val="both"/>
        <w:rPr>
          <w:sz w:val="20"/>
          <w:szCs w:val="20"/>
        </w:rPr>
      </w:pPr>
      <w:r w:rsidRPr="009908D5">
        <w:rPr>
          <w:sz w:val="20"/>
          <w:szCs w:val="20"/>
        </w:rPr>
        <w:t xml:space="preserve"> Mocowanie </w:t>
      </w:r>
      <w:proofErr w:type="spellStart"/>
      <w:r w:rsidRPr="009908D5">
        <w:rPr>
          <w:sz w:val="20"/>
          <w:szCs w:val="20"/>
        </w:rPr>
        <w:t>szpringowe</w:t>
      </w:r>
      <w:proofErr w:type="spellEnd"/>
      <w:r w:rsidRPr="009908D5">
        <w:rPr>
          <w:sz w:val="20"/>
          <w:szCs w:val="20"/>
        </w:rPr>
        <w:t xml:space="preserve">. </w:t>
      </w:r>
    </w:p>
    <w:p w14:paraId="7F2BB1AF" w14:textId="77777777" w:rsidR="000F08AF" w:rsidRPr="009908D5" w:rsidRDefault="000F08AF" w:rsidP="000F08AF">
      <w:pPr>
        <w:pStyle w:val="Default"/>
        <w:jc w:val="both"/>
        <w:rPr>
          <w:sz w:val="20"/>
          <w:szCs w:val="20"/>
        </w:rPr>
      </w:pPr>
    </w:p>
    <w:p w14:paraId="4A4C75B1" w14:textId="77777777" w:rsidR="000F08AF" w:rsidRPr="009908D5" w:rsidRDefault="000F08AF" w:rsidP="000F08AF">
      <w:pPr>
        <w:pStyle w:val="Default"/>
        <w:jc w:val="both"/>
        <w:rPr>
          <w:sz w:val="20"/>
          <w:szCs w:val="20"/>
        </w:rPr>
      </w:pPr>
      <w:r w:rsidRPr="009908D5">
        <w:rPr>
          <w:sz w:val="20"/>
          <w:szCs w:val="20"/>
        </w:rPr>
        <w:t xml:space="preserve">Uwaga: </w:t>
      </w:r>
    </w:p>
    <w:p w14:paraId="724BEF86" w14:textId="77777777" w:rsidR="000F08AF" w:rsidRPr="009908D5" w:rsidRDefault="000F08AF" w:rsidP="000F08AF">
      <w:pPr>
        <w:pStyle w:val="Default"/>
        <w:jc w:val="both"/>
        <w:rPr>
          <w:sz w:val="20"/>
          <w:szCs w:val="20"/>
        </w:rPr>
      </w:pPr>
      <w:r w:rsidRPr="009908D5">
        <w:rPr>
          <w:sz w:val="20"/>
          <w:szCs w:val="20"/>
        </w:rPr>
        <w:t xml:space="preserve">Dla przypomnienia informujemy, że kierowca jest zobowiązany do nadzorowania załadunku towaru na samochód i sposobu jego rozmieszczenia. </w:t>
      </w:r>
    </w:p>
    <w:p w14:paraId="6630DAEB" w14:textId="77777777" w:rsidR="00556340" w:rsidRPr="009908D5" w:rsidRDefault="000F08AF" w:rsidP="000F08AF">
      <w:pPr>
        <w:jc w:val="both"/>
        <w:rPr>
          <w:rFonts w:ascii="Arial" w:hAnsi="Arial" w:cs="Arial"/>
          <w:sz w:val="20"/>
          <w:szCs w:val="20"/>
        </w:rPr>
      </w:pPr>
      <w:r w:rsidRPr="009908D5">
        <w:rPr>
          <w:rFonts w:ascii="Arial" w:hAnsi="Arial" w:cs="Arial"/>
          <w:sz w:val="20"/>
          <w:szCs w:val="20"/>
        </w:rPr>
        <w:t>Kierowca ponosi pełną odpowiedzialność za towar znajdujący się na samochodzie od momentu załadunku do rozładunku u odbiorcy towaru.</w:t>
      </w:r>
    </w:p>
    <w:sectPr w:rsidR="00556340" w:rsidRPr="009908D5">
      <w:footerReference w:type="default" r:id="rId6"/>
      <w:footerReference w:type="first" r:id="rId7"/>
      <w:pgSz w:w="11906" w:h="16838"/>
      <w:pgMar w:top="1417" w:right="1417" w:bottom="1340" w:left="1417"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3D6B0" w14:textId="77777777" w:rsidR="004E193B" w:rsidRDefault="004E193B" w:rsidP="000F08AF">
      <w:pPr>
        <w:spacing w:after="0" w:line="240" w:lineRule="auto"/>
      </w:pPr>
      <w:r>
        <w:separator/>
      </w:r>
    </w:p>
  </w:endnote>
  <w:endnote w:type="continuationSeparator" w:id="0">
    <w:p w14:paraId="695179EB" w14:textId="77777777" w:rsidR="004E193B" w:rsidRDefault="004E193B" w:rsidP="000F08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1B944" w14:textId="77777777" w:rsidR="006C5E09"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9908D5">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FC9CC" w14:textId="77777777" w:rsidR="006C5E09"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4"/>
      <w:gridCol w:w="1470"/>
      <w:gridCol w:w="1470"/>
      <w:gridCol w:w="2135"/>
      <w:gridCol w:w="2443"/>
    </w:tblGrid>
    <w:tr w:rsidR="006C5E09" w14:paraId="098552F7" w14:textId="77777777">
      <w:tc>
        <w:tcPr>
          <w:tcW w:w="0" w:type="auto"/>
          <w:vAlign w:val="center"/>
        </w:tcPr>
        <w:p w14:paraId="1A4D9298" w14:textId="77777777" w:rsidR="006C5E09" w:rsidRDefault="00000000">
          <w:pPr>
            <w:spacing w:line="240" w:lineRule="auto"/>
          </w:pPr>
          <w:r>
            <w:rPr>
              <w:sz w:val="16"/>
            </w:rPr>
            <w:t>Rodzaj</w:t>
          </w:r>
        </w:p>
      </w:tc>
      <w:tc>
        <w:tcPr>
          <w:tcW w:w="0" w:type="auto"/>
          <w:vAlign w:val="center"/>
        </w:tcPr>
        <w:p w14:paraId="2CFD91E2" w14:textId="77777777" w:rsidR="006C5E09" w:rsidRDefault="00000000">
          <w:pPr>
            <w:spacing w:line="240" w:lineRule="auto"/>
          </w:pPr>
          <w:r>
            <w:rPr>
              <w:sz w:val="16"/>
            </w:rPr>
            <w:t>ID umowy</w:t>
          </w:r>
        </w:p>
      </w:tc>
      <w:tc>
        <w:tcPr>
          <w:tcW w:w="0" w:type="auto"/>
          <w:vAlign w:val="center"/>
        </w:tcPr>
        <w:p w14:paraId="16D25B94" w14:textId="77777777" w:rsidR="006C5E09" w:rsidRDefault="00000000">
          <w:pPr>
            <w:spacing w:line="240" w:lineRule="auto"/>
          </w:pPr>
          <w:r>
            <w:rPr>
              <w:sz w:val="16"/>
            </w:rPr>
            <w:t>ID pliku</w:t>
          </w:r>
        </w:p>
      </w:tc>
      <w:tc>
        <w:tcPr>
          <w:tcW w:w="0" w:type="auto"/>
          <w:vAlign w:val="center"/>
        </w:tcPr>
        <w:p w14:paraId="1F0FF364" w14:textId="77777777" w:rsidR="006C5E09" w:rsidRDefault="00000000">
          <w:pPr>
            <w:spacing w:line="240" w:lineRule="auto"/>
          </w:pPr>
          <w:r>
            <w:rPr>
              <w:sz w:val="16"/>
            </w:rPr>
            <w:t>Stan</w:t>
          </w:r>
        </w:p>
      </w:tc>
      <w:tc>
        <w:tcPr>
          <w:tcW w:w="0" w:type="auto"/>
          <w:vAlign w:val="center"/>
        </w:tcPr>
        <w:p w14:paraId="41F906C4" w14:textId="77777777" w:rsidR="006C5E09" w:rsidRDefault="00000000">
          <w:pPr>
            <w:spacing w:line="240" w:lineRule="auto"/>
          </w:pPr>
          <w:r>
            <w:rPr>
              <w:sz w:val="16"/>
            </w:rPr>
            <w:t>Data modyfikacji</w:t>
          </w:r>
        </w:p>
      </w:tc>
    </w:tr>
    <w:tr w:rsidR="006C5E09" w14:paraId="7090DEEC" w14:textId="77777777">
      <w:tc>
        <w:tcPr>
          <w:tcW w:w="0" w:type="auto"/>
          <w:vAlign w:val="center"/>
        </w:tcPr>
        <w:p w14:paraId="5ACC8553" w14:textId="77777777" w:rsidR="006C5E09" w:rsidRDefault="00000000">
          <w:pPr>
            <w:spacing w:line="240" w:lineRule="auto"/>
          </w:pPr>
          <w:r>
            <w:rPr>
              <w:sz w:val="16"/>
            </w:rPr>
            <w:t>Opiniowana</w:t>
          </w:r>
        </w:p>
      </w:tc>
      <w:tc>
        <w:tcPr>
          <w:tcW w:w="0" w:type="auto"/>
          <w:vAlign w:val="center"/>
        </w:tcPr>
        <w:p w14:paraId="7323B8CF" w14:textId="77777777" w:rsidR="006C5E09" w:rsidRDefault="00000000">
          <w:pPr>
            <w:spacing w:line="240" w:lineRule="auto"/>
          </w:pPr>
          <w:r>
            <w:rPr>
              <w:sz w:val="16"/>
            </w:rPr>
            <w:t>300080969</w:t>
          </w:r>
        </w:p>
      </w:tc>
      <w:tc>
        <w:tcPr>
          <w:tcW w:w="0" w:type="auto"/>
          <w:vAlign w:val="center"/>
        </w:tcPr>
        <w:p w14:paraId="3C75E079" w14:textId="77777777" w:rsidR="006C5E09" w:rsidRDefault="00000000">
          <w:pPr>
            <w:spacing w:line="240" w:lineRule="auto"/>
          </w:pPr>
          <w:r>
            <w:rPr>
              <w:sz w:val="16"/>
            </w:rPr>
            <w:t>300081570</w:t>
          </w:r>
        </w:p>
      </w:tc>
      <w:tc>
        <w:tcPr>
          <w:tcW w:w="0" w:type="auto"/>
          <w:vAlign w:val="center"/>
        </w:tcPr>
        <w:p w14:paraId="113164CA" w14:textId="77777777" w:rsidR="006C5E09" w:rsidRDefault="00000000">
          <w:pPr>
            <w:spacing w:line="240" w:lineRule="auto"/>
          </w:pPr>
          <w:r>
            <w:rPr>
              <w:sz w:val="16"/>
            </w:rPr>
            <w:t>Do zaopiniowania</w:t>
          </w:r>
        </w:p>
      </w:tc>
      <w:tc>
        <w:tcPr>
          <w:tcW w:w="0" w:type="auto"/>
          <w:vAlign w:val="center"/>
        </w:tcPr>
        <w:p w14:paraId="2EF46343" w14:textId="77777777" w:rsidR="006C5E09" w:rsidRDefault="00000000">
          <w:pPr>
            <w:spacing w:line="240" w:lineRule="auto"/>
          </w:pPr>
          <w:r>
            <w:rPr>
              <w:sz w:val="16"/>
            </w:rPr>
            <w:t>2024-05-15 11:37:40</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34C24" w14:textId="77777777" w:rsidR="004E193B" w:rsidRDefault="004E193B" w:rsidP="000F08AF">
      <w:pPr>
        <w:spacing w:after="0" w:line="240" w:lineRule="auto"/>
      </w:pPr>
      <w:r>
        <w:separator/>
      </w:r>
    </w:p>
  </w:footnote>
  <w:footnote w:type="continuationSeparator" w:id="0">
    <w:p w14:paraId="6BCCE5FA" w14:textId="77777777" w:rsidR="004E193B" w:rsidRDefault="004E193B" w:rsidP="000F08A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8AF"/>
    <w:rsid w:val="000F08AF"/>
    <w:rsid w:val="002A4B2A"/>
    <w:rsid w:val="004828EF"/>
    <w:rsid w:val="004E193B"/>
    <w:rsid w:val="00556340"/>
    <w:rsid w:val="005E39FF"/>
    <w:rsid w:val="006C5E09"/>
    <w:rsid w:val="009908D5"/>
    <w:rsid w:val="00B13775"/>
    <w:rsid w:val="00FF0C9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0DD34"/>
  <w15:chartTrackingRefBased/>
  <w15:docId w15:val="{5C2EFAEC-E997-4D57-AB4C-7DDA4A77A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0F08AF"/>
    <w:pPr>
      <w:autoSpaceDE w:val="0"/>
      <w:autoSpaceDN w:val="0"/>
      <w:adjustRightInd w:val="0"/>
      <w:spacing w:after="0" w:line="240" w:lineRule="auto"/>
    </w:pPr>
    <w:rPr>
      <w:rFonts w:ascii="Arial" w:hAnsi="Arial" w:cs="Arial"/>
      <w:color w:val="000000"/>
      <w:sz w:val="24"/>
      <w:szCs w:val="24"/>
    </w:rPr>
  </w:style>
  <w:style w:type="character" w:customStyle="1" w:styleId="Teksttreci2">
    <w:name w:val="Tekst treści (2)_"/>
    <w:basedOn w:val="Domylnaczcionkaakapitu"/>
    <w:link w:val="Teksttreci20"/>
    <w:rsid w:val="000F08AF"/>
    <w:rPr>
      <w:rFonts w:ascii="Tahoma" w:eastAsia="Tahoma" w:hAnsi="Tahoma" w:cs="Tahoma"/>
      <w:b/>
      <w:bCs/>
    </w:rPr>
  </w:style>
  <w:style w:type="paragraph" w:customStyle="1" w:styleId="Teksttreci20">
    <w:name w:val="Tekst treści (2)"/>
    <w:basedOn w:val="Normalny"/>
    <w:link w:val="Teksttreci2"/>
    <w:rsid w:val="000F08AF"/>
    <w:pPr>
      <w:widowControl w:val="0"/>
      <w:spacing w:after="260" w:line="240" w:lineRule="auto"/>
    </w:pPr>
    <w:rPr>
      <w:rFonts w:ascii="Tahoma" w:eastAsia="Tahoma" w:hAnsi="Tahoma" w:cs="Tahoma"/>
      <w:b/>
      <w:bCs/>
    </w:rPr>
  </w:style>
  <w:style w:type="paragraph" w:styleId="Nagwek">
    <w:name w:val="header"/>
    <w:basedOn w:val="Normalny"/>
    <w:link w:val="NagwekZnak"/>
    <w:uiPriority w:val="99"/>
    <w:unhideWhenUsed/>
    <w:rsid w:val="000F08A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F08AF"/>
  </w:style>
  <w:style w:type="paragraph" w:styleId="Stopka">
    <w:name w:val="footer"/>
    <w:basedOn w:val="Normalny"/>
    <w:link w:val="StopkaZnak"/>
    <w:uiPriority w:val="99"/>
    <w:unhideWhenUsed/>
    <w:rsid w:val="000F08A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F08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436</Words>
  <Characters>2985</Characters>
  <Application>Microsoft Office Word</Application>
  <DocSecurity>0</DocSecurity>
  <Lines>52</Lines>
  <Paragraphs>22</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Wiśniewski Hubert (PKN) (ZGL)</dc:creator>
  <cp:lastModifiedBy>Telega Jacek (OIL)</cp:lastModifiedBy>
  <cp:revision>4</cp:revision>
  <dcterms:created xsi:type="dcterms:W3CDTF">2023-09-13T10:50:00Z</dcterms:created>
  <dcterms:modified xsi:type="dcterms:W3CDTF">2026-04-17T05:39:00Z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2026-04-17T05:39:23Z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ce2f307f-31f2-42cb-844d-8e7b7d464cb4</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